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D071" w14:textId="4BC346B8" w:rsidR="00922A2D" w:rsidRDefault="00536E10" w:rsidP="00536E10">
      <w:pPr>
        <w:contextualSpacing/>
        <w:jc w:val="right"/>
      </w:pPr>
      <w:r>
        <w:t>Załącznik do uchwały nr</w:t>
      </w:r>
      <w:r w:rsidR="00A15937">
        <w:t xml:space="preserve"> XV</w:t>
      </w:r>
      <w:r w:rsidR="00FA2435">
        <w:t>I</w:t>
      </w:r>
      <w:r w:rsidR="00A15937">
        <w:t>/…/202</w:t>
      </w:r>
      <w:r w:rsidR="00052590">
        <w:t>5</w:t>
      </w:r>
    </w:p>
    <w:p w14:paraId="4E7A496C" w14:textId="18E1692F" w:rsidR="00536E10" w:rsidRDefault="00536E10" w:rsidP="00536E10">
      <w:pPr>
        <w:contextualSpacing/>
        <w:jc w:val="right"/>
      </w:pPr>
      <w:r>
        <w:t>Rady Gminy Komorniki</w:t>
      </w:r>
    </w:p>
    <w:p w14:paraId="2A7B2477" w14:textId="582980BB" w:rsidR="00536E10" w:rsidRDefault="00536E10" w:rsidP="00536E10">
      <w:pPr>
        <w:contextualSpacing/>
        <w:jc w:val="right"/>
      </w:pPr>
      <w:r>
        <w:t xml:space="preserve">z dnia </w:t>
      </w:r>
      <w:r w:rsidR="00FA2435">
        <w:t>20</w:t>
      </w:r>
      <w:r>
        <w:t xml:space="preserve"> </w:t>
      </w:r>
      <w:r w:rsidR="00FA2435">
        <w:t>lutego</w:t>
      </w:r>
      <w:r>
        <w:t xml:space="preserve"> 202</w:t>
      </w:r>
      <w:r w:rsidR="00052590">
        <w:t>5</w:t>
      </w:r>
      <w:r>
        <w:t xml:space="preserve"> r.</w:t>
      </w:r>
    </w:p>
    <w:p w14:paraId="59C03279" w14:textId="77777777" w:rsidR="00536E10" w:rsidRDefault="00536E10" w:rsidP="00536E10">
      <w:pPr>
        <w:contextualSpacing/>
        <w:jc w:val="right"/>
      </w:pPr>
    </w:p>
    <w:p w14:paraId="39B0B295" w14:textId="0F64A8F7" w:rsidR="00536E10" w:rsidRPr="00536E10" w:rsidRDefault="00536E10" w:rsidP="00536E10">
      <w:pPr>
        <w:contextualSpacing/>
        <w:jc w:val="center"/>
        <w:rPr>
          <w:b/>
          <w:bCs/>
        </w:rPr>
      </w:pPr>
      <w:r w:rsidRPr="00536E10">
        <w:rPr>
          <w:b/>
          <w:bCs/>
        </w:rPr>
        <w:t xml:space="preserve">WIELOLETNI PROGRAM GOSPODAROWANIA MIESZKANIOWYM ZASOBEM </w:t>
      </w:r>
    </w:p>
    <w:p w14:paraId="1DF06850" w14:textId="6ECCF8EE" w:rsidR="00536E10" w:rsidRPr="00536E10" w:rsidRDefault="00536E10" w:rsidP="00536E10">
      <w:pPr>
        <w:contextualSpacing/>
        <w:jc w:val="center"/>
        <w:rPr>
          <w:b/>
          <w:bCs/>
        </w:rPr>
      </w:pPr>
      <w:r w:rsidRPr="00536E10">
        <w:rPr>
          <w:b/>
          <w:bCs/>
        </w:rPr>
        <w:t>GMINY KOMORNIKI W LATACH 2025 – 20</w:t>
      </w:r>
      <w:r w:rsidR="009B6A6A">
        <w:rPr>
          <w:b/>
          <w:bCs/>
        </w:rPr>
        <w:t>29</w:t>
      </w:r>
    </w:p>
    <w:p w14:paraId="4E57FA29" w14:textId="77777777" w:rsidR="00536E10" w:rsidRDefault="00536E10" w:rsidP="00536E10">
      <w:pPr>
        <w:contextualSpacing/>
        <w:jc w:val="center"/>
      </w:pPr>
    </w:p>
    <w:p w14:paraId="7D35C5F1" w14:textId="42C4C42A" w:rsidR="00536E10" w:rsidRPr="00536E10" w:rsidRDefault="00536E10" w:rsidP="00536E10">
      <w:pPr>
        <w:contextualSpacing/>
        <w:jc w:val="center"/>
        <w:rPr>
          <w:b/>
          <w:bCs/>
        </w:rPr>
      </w:pPr>
      <w:r w:rsidRPr="00536E10">
        <w:rPr>
          <w:b/>
          <w:bCs/>
        </w:rPr>
        <w:t>Rozdział 1</w:t>
      </w:r>
    </w:p>
    <w:p w14:paraId="3541EAEE" w14:textId="44D74778" w:rsidR="00536E10" w:rsidRPr="00B17AFD" w:rsidRDefault="00536E10" w:rsidP="00536E10">
      <w:pPr>
        <w:contextualSpacing/>
        <w:jc w:val="center"/>
        <w:rPr>
          <w:b/>
          <w:bCs/>
        </w:rPr>
      </w:pPr>
      <w:r w:rsidRPr="00B17AFD">
        <w:rPr>
          <w:b/>
          <w:bCs/>
        </w:rPr>
        <w:t>Postanowienia ogólne</w:t>
      </w:r>
    </w:p>
    <w:p w14:paraId="0BA38A7E" w14:textId="77777777" w:rsidR="00536E10" w:rsidRDefault="00536E10" w:rsidP="00536E10">
      <w:pPr>
        <w:contextualSpacing/>
        <w:jc w:val="center"/>
      </w:pPr>
    </w:p>
    <w:p w14:paraId="0F392CC5" w14:textId="7F474C8A" w:rsidR="00536E10" w:rsidRDefault="00536E10" w:rsidP="00491E7A">
      <w:pPr>
        <w:contextualSpacing/>
        <w:jc w:val="both"/>
      </w:pPr>
      <w:r w:rsidRPr="00B17AFD">
        <w:rPr>
          <w:b/>
          <w:bCs/>
        </w:rPr>
        <w:t>§ 1.</w:t>
      </w:r>
      <w:r>
        <w:t xml:space="preserve"> Program gospodarowania mieszkaniowym zasobem Gminy Komorniki na lata 2025 – 20</w:t>
      </w:r>
      <w:r w:rsidR="009B6A6A">
        <w:t>29</w:t>
      </w:r>
      <w:r>
        <w:t xml:space="preserve"> określa warunki do zaspokajania potrzeb mieszkaniowych mieszkańców </w:t>
      </w:r>
      <w:r w:rsidR="00582F6F">
        <w:t>G</w:t>
      </w:r>
      <w:r>
        <w:t>miny Komorniki i w szczególności obejmuje następujące kwestie:</w:t>
      </w:r>
    </w:p>
    <w:p w14:paraId="0237654F" w14:textId="4D612491" w:rsidR="00536E10" w:rsidRDefault="00997F49" w:rsidP="00997F49">
      <w:pPr>
        <w:pStyle w:val="Akapitzlist"/>
        <w:numPr>
          <w:ilvl w:val="0"/>
          <w:numId w:val="1"/>
        </w:numPr>
        <w:jc w:val="both"/>
      </w:pPr>
      <w:r>
        <w:t>p</w:t>
      </w:r>
      <w:r w:rsidR="00536E10">
        <w:t>rognozę dotycząc</w:t>
      </w:r>
      <w:r w:rsidR="002E5DD1">
        <w:t>ą</w:t>
      </w:r>
      <w:r w:rsidR="00536E10">
        <w:t xml:space="preserve"> wielkości oraz stanu technicznego </w:t>
      </w:r>
      <w:r w:rsidR="00567BBD">
        <w:t>zasobu mieszkaniowego</w:t>
      </w:r>
      <w:r w:rsidR="00536E10">
        <w:t xml:space="preserve"> gminy w poszczególnych latach.</w:t>
      </w:r>
    </w:p>
    <w:p w14:paraId="2BBD04DB" w14:textId="6AED9C97" w:rsidR="00117ACE" w:rsidRDefault="00997F49" w:rsidP="00491E7A">
      <w:pPr>
        <w:pStyle w:val="Akapitzlist"/>
        <w:numPr>
          <w:ilvl w:val="0"/>
          <w:numId w:val="1"/>
        </w:numPr>
        <w:jc w:val="both"/>
      </w:pPr>
      <w:r>
        <w:t>a</w:t>
      </w:r>
      <w:r w:rsidR="00117ACE">
        <w:t>nalizę potrzeb oraz plan remontów i modernizacji, wynikający ze stanu technicznego budynków i lokali</w:t>
      </w:r>
      <w:r w:rsidR="00567BBD">
        <w:t>, z podziałem na kolejne</w:t>
      </w:r>
      <w:r w:rsidR="00CB237D">
        <w:t xml:space="preserve"> lata</w:t>
      </w:r>
      <w:r w:rsidR="00117ACE">
        <w:t>.</w:t>
      </w:r>
    </w:p>
    <w:p w14:paraId="3FB72CE1" w14:textId="5D96818F" w:rsidR="00117ACE" w:rsidRDefault="00997F49" w:rsidP="00491E7A">
      <w:pPr>
        <w:pStyle w:val="Akapitzlist"/>
        <w:numPr>
          <w:ilvl w:val="0"/>
          <w:numId w:val="1"/>
        </w:numPr>
        <w:jc w:val="both"/>
      </w:pPr>
      <w:r>
        <w:t>p</w:t>
      </w:r>
      <w:r w:rsidR="00117ACE">
        <w:t xml:space="preserve">lanowaną sprzedaż lokali w </w:t>
      </w:r>
      <w:r w:rsidR="00567BBD">
        <w:t>kolejnych</w:t>
      </w:r>
      <w:r w:rsidR="00117ACE">
        <w:t xml:space="preserve"> latach.</w:t>
      </w:r>
    </w:p>
    <w:p w14:paraId="57B40FD0" w14:textId="66C1B1D6" w:rsidR="00117ACE" w:rsidRDefault="00997F49" w:rsidP="00491E7A">
      <w:pPr>
        <w:pStyle w:val="Akapitzlist"/>
        <w:numPr>
          <w:ilvl w:val="0"/>
          <w:numId w:val="1"/>
        </w:numPr>
        <w:jc w:val="both"/>
      </w:pPr>
      <w:r>
        <w:t>z</w:t>
      </w:r>
      <w:r w:rsidR="00117ACE">
        <w:t>asady polityki czynszowej oraz warunki obniżania czynszu.</w:t>
      </w:r>
    </w:p>
    <w:p w14:paraId="4CCA6070" w14:textId="6256BAF4" w:rsidR="00C0551F" w:rsidRDefault="00997F49" w:rsidP="00491E7A">
      <w:pPr>
        <w:pStyle w:val="Akapitzlist"/>
        <w:numPr>
          <w:ilvl w:val="0"/>
          <w:numId w:val="1"/>
        </w:numPr>
        <w:jc w:val="both"/>
      </w:pPr>
      <w:r>
        <w:t>s</w:t>
      </w:r>
      <w:r w:rsidR="00117ACE">
        <w:t>po</w:t>
      </w:r>
      <w:r w:rsidR="00C0551F">
        <w:t>sób i</w:t>
      </w:r>
      <w:r w:rsidR="00117ACE">
        <w:t xml:space="preserve"> zasady </w:t>
      </w:r>
      <w:r w:rsidR="00C0551F">
        <w:t xml:space="preserve">zarządzania lokalami i budynkami wchodzącymi w skład mieszkaniowego zasobu gminy oraz przewidywane zmiany w zakresie zarządzania mieszkaniowym zasobem gminy w </w:t>
      </w:r>
      <w:r w:rsidR="00567BBD">
        <w:t>kolejnych</w:t>
      </w:r>
      <w:r w:rsidR="00C0551F">
        <w:t xml:space="preserve"> latach.</w:t>
      </w:r>
    </w:p>
    <w:p w14:paraId="058CBFE8" w14:textId="58D0A2F8" w:rsidR="00C0551F" w:rsidRDefault="00997F49" w:rsidP="00491E7A">
      <w:pPr>
        <w:pStyle w:val="Akapitzlist"/>
        <w:numPr>
          <w:ilvl w:val="0"/>
          <w:numId w:val="1"/>
        </w:numPr>
        <w:jc w:val="both"/>
      </w:pPr>
      <w:r>
        <w:t>ź</w:t>
      </w:r>
      <w:r w:rsidR="00C0551F">
        <w:t xml:space="preserve">ródła finansowania gospodarki mieszkaniowej w </w:t>
      </w:r>
      <w:r w:rsidR="00567BBD">
        <w:t>kolejnych</w:t>
      </w:r>
      <w:r w:rsidR="00C0551F">
        <w:t xml:space="preserve"> latach.</w:t>
      </w:r>
    </w:p>
    <w:p w14:paraId="5E30E9D2" w14:textId="7E84D1AE" w:rsidR="00117ACE" w:rsidRDefault="00997F49" w:rsidP="00491E7A">
      <w:pPr>
        <w:pStyle w:val="Akapitzlist"/>
        <w:numPr>
          <w:ilvl w:val="0"/>
          <w:numId w:val="1"/>
        </w:numPr>
        <w:jc w:val="both"/>
      </w:pPr>
      <w:r>
        <w:t>w</w:t>
      </w:r>
      <w:r w:rsidR="00C0551F">
        <w:t xml:space="preserve">ysokość </w:t>
      </w:r>
      <w:r w:rsidR="00567BBD">
        <w:t>kosztów</w:t>
      </w:r>
      <w:r w:rsidR="00C0551F">
        <w:t xml:space="preserve"> w </w:t>
      </w:r>
      <w:r w:rsidR="00567BBD">
        <w:t>kolejnych</w:t>
      </w:r>
      <w:r w:rsidR="00C0551F">
        <w:t xml:space="preserve"> latach, z podziałem na koszty bieżącej eksploatacji, koszty remontów oraz koszty modernizacji lokali i budynków wchodzących w skład mieszkaniowego zasobu gminy, koszty zarządu nieruchomościami wspólnymi, których gmina jest </w:t>
      </w:r>
      <w:r w:rsidR="00567BBD">
        <w:t xml:space="preserve">jednym ze </w:t>
      </w:r>
      <w:r w:rsidR="00C0551F">
        <w:t>współwłaściciel</w:t>
      </w:r>
      <w:r w:rsidR="00567BBD">
        <w:t>i</w:t>
      </w:r>
      <w:r w:rsidR="00C0551F">
        <w:t xml:space="preserve">, a także koszty inwestycyjne. </w:t>
      </w:r>
      <w:r w:rsidR="00117ACE">
        <w:t xml:space="preserve"> </w:t>
      </w:r>
    </w:p>
    <w:p w14:paraId="059D01E7" w14:textId="20E8DC41" w:rsidR="00567BBD" w:rsidRDefault="00997F49" w:rsidP="00491E7A">
      <w:pPr>
        <w:pStyle w:val="Akapitzlist"/>
        <w:numPr>
          <w:ilvl w:val="0"/>
          <w:numId w:val="1"/>
        </w:numPr>
        <w:jc w:val="both"/>
      </w:pPr>
      <w:r>
        <w:t>o</w:t>
      </w:r>
      <w:r w:rsidR="00C0551F">
        <w:t xml:space="preserve">pis innych działań mających na celu poprawę wykorzystania i racjonalizację gospodarowania mieszkaniowym zasobem </w:t>
      </w:r>
      <w:r w:rsidR="00582F6F">
        <w:t>G</w:t>
      </w:r>
      <w:r w:rsidR="00C0551F">
        <w:t>miny Komorniki</w:t>
      </w:r>
      <w:r w:rsidR="00567BBD">
        <w:t>, a w szczególności:</w:t>
      </w:r>
    </w:p>
    <w:p w14:paraId="3D1ECA6D" w14:textId="64719B34" w:rsidR="00567BBD" w:rsidRDefault="00567BBD" w:rsidP="00491E7A">
      <w:pPr>
        <w:pStyle w:val="Akapitzlist"/>
        <w:numPr>
          <w:ilvl w:val="0"/>
          <w:numId w:val="2"/>
        </w:numPr>
        <w:jc w:val="both"/>
      </w:pPr>
      <w:r>
        <w:t>niezbędny zakres zamian lokali związanych z remontami budynków i lokali,</w:t>
      </w:r>
    </w:p>
    <w:p w14:paraId="376E3502" w14:textId="2DD35ACB" w:rsidR="00567BBD" w:rsidRDefault="00997F49" w:rsidP="00491E7A">
      <w:pPr>
        <w:pStyle w:val="Akapitzlist"/>
        <w:numPr>
          <w:ilvl w:val="0"/>
          <w:numId w:val="2"/>
        </w:numPr>
        <w:jc w:val="both"/>
      </w:pPr>
      <w:r>
        <w:t>p</w:t>
      </w:r>
      <w:r w:rsidR="00567BBD">
        <w:t>lanowaną sprzedażą lokali.</w:t>
      </w:r>
    </w:p>
    <w:p w14:paraId="211A1C6E" w14:textId="77777777" w:rsidR="00491E7A" w:rsidRDefault="00491E7A" w:rsidP="00491E7A">
      <w:pPr>
        <w:pStyle w:val="Akapitzlist"/>
        <w:ind w:left="1080"/>
        <w:jc w:val="both"/>
      </w:pPr>
    </w:p>
    <w:p w14:paraId="22B07B05" w14:textId="22F6620C" w:rsidR="00491E7A" w:rsidRPr="00536E10" w:rsidRDefault="00491E7A" w:rsidP="00491E7A">
      <w:pPr>
        <w:contextualSpacing/>
        <w:jc w:val="center"/>
        <w:rPr>
          <w:b/>
          <w:bCs/>
        </w:rPr>
      </w:pPr>
      <w:r w:rsidRPr="00536E10">
        <w:rPr>
          <w:b/>
          <w:bCs/>
        </w:rPr>
        <w:t xml:space="preserve">Rozdział </w:t>
      </w:r>
      <w:r>
        <w:rPr>
          <w:b/>
          <w:bCs/>
        </w:rPr>
        <w:t>2</w:t>
      </w:r>
    </w:p>
    <w:p w14:paraId="676C29A2" w14:textId="0F5BC1CE" w:rsidR="00491E7A" w:rsidRPr="00B17AFD" w:rsidRDefault="00491E7A" w:rsidP="00491E7A">
      <w:pPr>
        <w:contextualSpacing/>
        <w:jc w:val="center"/>
        <w:rPr>
          <w:b/>
          <w:bCs/>
        </w:rPr>
      </w:pPr>
      <w:r w:rsidRPr="00B17AFD">
        <w:rPr>
          <w:b/>
          <w:bCs/>
        </w:rPr>
        <w:t>Słownik</w:t>
      </w:r>
    </w:p>
    <w:p w14:paraId="418DA581" w14:textId="77777777" w:rsidR="00B17AFD" w:rsidRDefault="00B17AFD" w:rsidP="00491E7A">
      <w:pPr>
        <w:contextualSpacing/>
        <w:jc w:val="center"/>
      </w:pPr>
    </w:p>
    <w:p w14:paraId="3C4E96AD" w14:textId="03AC1BC9" w:rsidR="00491E7A" w:rsidRDefault="00491E7A" w:rsidP="00491E7A">
      <w:pPr>
        <w:contextualSpacing/>
      </w:pPr>
      <w:r w:rsidRPr="00B17AFD">
        <w:rPr>
          <w:b/>
          <w:bCs/>
        </w:rPr>
        <w:t>§ 2.</w:t>
      </w:r>
      <w:r>
        <w:t xml:space="preserve"> Ilekroć w załączniku jest mowa o:</w:t>
      </w:r>
    </w:p>
    <w:p w14:paraId="690A8EE8" w14:textId="2D403E68" w:rsidR="00491E7A" w:rsidRDefault="00997F49" w:rsidP="00997F49">
      <w:pPr>
        <w:pStyle w:val="Akapitzlist"/>
        <w:numPr>
          <w:ilvl w:val="0"/>
          <w:numId w:val="3"/>
        </w:numPr>
        <w:jc w:val="both"/>
      </w:pPr>
      <w:r>
        <w:t>u</w:t>
      </w:r>
      <w:r w:rsidR="00491E7A">
        <w:t>stawie – należy przez to rozumieć ustawę z dnia 21 czerwca 2001 roku o ochronie praw lokatorów, mieszkaniowym zasobie gminy i o zmianie Kodeksu cywilnego (t.j. Dz.U. z 202</w:t>
      </w:r>
      <w:r w:rsidR="005B2581">
        <w:t>3</w:t>
      </w:r>
      <w:r w:rsidR="00491E7A">
        <w:t xml:space="preserve"> r. poz. </w:t>
      </w:r>
      <w:r w:rsidR="005B2581">
        <w:t>725</w:t>
      </w:r>
      <w:r w:rsidR="00491E7A">
        <w:t>),</w:t>
      </w:r>
    </w:p>
    <w:p w14:paraId="2C73DF79" w14:textId="643805C9" w:rsidR="00491E7A" w:rsidRDefault="00997F49" w:rsidP="007D6B86">
      <w:pPr>
        <w:pStyle w:val="Akapitzlist"/>
        <w:numPr>
          <w:ilvl w:val="0"/>
          <w:numId w:val="3"/>
        </w:numPr>
        <w:jc w:val="both"/>
      </w:pPr>
      <w:r>
        <w:t>m</w:t>
      </w:r>
      <w:r w:rsidR="00491E7A">
        <w:t>ieszkaniowym zasobie gminy – należy przez to rozumieć lokale stanowiące własność Gminy Komorniki, służące zaspokajaniu potrzeb mieszkaniowych wspólnoty samorządowej lub ew. lokale wynajmowane od osób trzecich,</w:t>
      </w:r>
    </w:p>
    <w:p w14:paraId="3EA32691" w14:textId="23DED0B9" w:rsidR="00491E7A" w:rsidRDefault="00997F49" w:rsidP="007D6B86">
      <w:pPr>
        <w:pStyle w:val="Akapitzlist"/>
        <w:numPr>
          <w:ilvl w:val="0"/>
          <w:numId w:val="3"/>
        </w:numPr>
        <w:jc w:val="both"/>
      </w:pPr>
      <w:r>
        <w:t>u</w:t>
      </w:r>
      <w:r w:rsidR="00491E7A">
        <w:t>chwale Rady Gminy Komorniki – należy przez to rozumieć uchwałę Rady Gminy Komorniki z dnia 3 września 2020 r. w sprawie zasad wynajmowania lokali mieszkalnych, wchodzących w skład mieszkaniowego zasobu Gminy Komorniki,</w:t>
      </w:r>
    </w:p>
    <w:p w14:paraId="2769D589" w14:textId="535F6BBC" w:rsidR="00491E7A" w:rsidRDefault="00997F49" w:rsidP="007D6B86">
      <w:pPr>
        <w:pStyle w:val="Akapitzlist"/>
        <w:numPr>
          <w:ilvl w:val="0"/>
          <w:numId w:val="3"/>
        </w:numPr>
        <w:jc w:val="both"/>
      </w:pPr>
      <w:r>
        <w:lastRenderedPageBreak/>
        <w:t>p</w:t>
      </w:r>
      <w:r w:rsidR="00491E7A">
        <w:t>rogramie – należy przez to rozumieć wieloletni program gospodarowania zasobem gminy Komorniki w latach 2025 – 20</w:t>
      </w:r>
      <w:r w:rsidR="009B6A6A">
        <w:t>29</w:t>
      </w:r>
      <w:r w:rsidR="00491E7A">
        <w:t>,</w:t>
      </w:r>
    </w:p>
    <w:p w14:paraId="52FEF454" w14:textId="635F06EA" w:rsidR="00491E7A" w:rsidRDefault="00997F49" w:rsidP="007D6B86">
      <w:pPr>
        <w:pStyle w:val="Akapitzlist"/>
        <w:numPr>
          <w:ilvl w:val="0"/>
          <w:numId w:val="3"/>
        </w:numPr>
        <w:jc w:val="both"/>
      </w:pPr>
      <w:r>
        <w:t>l</w:t>
      </w:r>
      <w:r w:rsidR="00491E7A">
        <w:t>okalu – należy przez to rozumieć lokal wchodząc w skład mieszkaniowego zasobu Gminy Komorniki</w:t>
      </w:r>
      <w:r w:rsidR="007D6B86">
        <w:t>, służący do zaspokajania potrzeb mieszkaniowych wspólnoty samorządowej,</w:t>
      </w:r>
    </w:p>
    <w:p w14:paraId="57AB3656" w14:textId="4465B470" w:rsidR="007D6B86" w:rsidRDefault="00997F49" w:rsidP="007D6B86">
      <w:pPr>
        <w:pStyle w:val="Akapitzlist"/>
        <w:numPr>
          <w:ilvl w:val="0"/>
          <w:numId w:val="3"/>
        </w:numPr>
        <w:jc w:val="both"/>
      </w:pPr>
      <w:r>
        <w:t>p</w:t>
      </w:r>
      <w:r w:rsidR="007D6B86">
        <w:t>owierzchni użytkowej lokalu – należy przez to rozumieć sumę powierzchni wszystkich pomieszczeń wchodzących w skład danego lokalu, w tym: pokoi, kuchni, przedpokoi, holi, korytarzy, łazienek, spiżarni, oraz innych pomieszczeń służących mieszkalnym i gospodarczym potrzebom najemcy, bez względu na ich przeznaczenie i sposób używania. Za powierzchnię użytkową nie uważa się powierzchni balkonów, tarasów, loggi, antresoli, szaf i schowków w ścianach, pralni, suszarni, wózkowni, strychów, piwnic i komórek przeznaczonych do przechowywania opału.</w:t>
      </w:r>
    </w:p>
    <w:p w14:paraId="7A146F1A" w14:textId="6F47EAE1" w:rsidR="007D6B86" w:rsidRDefault="00997F49" w:rsidP="007D6B86">
      <w:pPr>
        <w:pStyle w:val="Akapitzlist"/>
        <w:numPr>
          <w:ilvl w:val="0"/>
          <w:numId w:val="3"/>
        </w:numPr>
        <w:jc w:val="both"/>
      </w:pPr>
      <w:r>
        <w:t>d</w:t>
      </w:r>
      <w:r w:rsidR="007D6B86">
        <w:t xml:space="preserve">ochodzie – należy przez to rozumieć dochód, o którym  mowa w </w:t>
      </w:r>
      <w:r w:rsidR="00936B77">
        <w:t xml:space="preserve">art. 7 ust. 1e </w:t>
      </w:r>
      <w:r w:rsidR="007D6B86">
        <w:t>ustaw</w:t>
      </w:r>
      <w:r w:rsidR="00936B77">
        <w:t>y</w:t>
      </w:r>
      <w:r w:rsidR="007D6B86">
        <w:t xml:space="preserve"> z dnia 21 czerwca 2001 roku o dodatkach mieszkaniowych,</w:t>
      </w:r>
    </w:p>
    <w:p w14:paraId="62A5272E" w14:textId="742878D4" w:rsidR="007D6B86" w:rsidRDefault="00997F49" w:rsidP="007D6B86">
      <w:pPr>
        <w:pStyle w:val="Akapitzlist"/>
        <w:numPr>
          <w:ilvl w:val="0"/>
          <w:numId w:val="3"/>
        </w:numPr>
        <w:jc w:val="both"/>
      </w:pPr>
      <w:r>
        <w:t>z</w:t>
      </w:r>
      <w:r w:rsidR="002F4C9A">
        <w:t xml:space="preserve">arządzaniu – </w:t>
      </w:r>
      <w:r w:rsidR="00D54D1E">
        <w:t>należy przez to rozumieć podejmowanie wszelkich decyzji i dokonywanie wszelkich czynności zmierzających do utrzymania budynków i lokali w stanie niepogorszonym, zgodnie z ich przeznaczeniem, jak również do uzasadnionego inwestowania,</w:t>
      </w:r>
      <w:r w:rsidR="002F4C9A">
        <w:t xml:space="preserve"> </w:t>
      </w:r>
    </w:p>
    <w:p w14:paraId="71BE0AC7" w14:textId="254FE625" w:rsidR="00491E7A" w:rsidRDefault="00997F49" w:rsidP="00F26E14">
      <w:pPr>
        <w:pStyle w:val="Akapitzlist"/>
        <w:numPr>
          <w:ilvl w:val="0"/>
          <w:numId w:val="3"/>
        </w:numPr>
        <w:jc w:val="both"/>
      </w:pPr>
      <w:r>
        <w:t>w</w:t>
      </w:r>
      <w:r w:rsidR="00D54D1E">
        <w:t>ynajmującym – należy przez to rozumieć Gminę Komorniki.</w:t>
      </w:r>
    </w:p>
    <w:p w14:paraId="51D5E68E" w14:textId="41C1E54F" w:rsidR="00B17AFD" w:rsidRPr="00536E10" w:rsidRDefault="00B17AFD" w:rsidP="00B17AFD">
      <w:pPr>
        <w:contextualSpacing/>
        <w:jc w:val="center"/>
        <w:rPr>
          <w:b/>
          <w:bCs/>
        </w:rPr>
      </w:pPr>
      <w:r w:rsidRPr="00536E10">
        <w:rPr>
          <w:b/>
          <w:bCs/>
        </w:rPr>
        <w:t xml:space="preserve">Rozdział </w:t>
      </w:r>
      <w:r>
        <w:rPr>
          <w:b/>
          <w:bCs/>
        </w:rPr>
        <w:t>3</w:t>
      </w:r>
    </w:p>
    <w:p w14:paraId="15FAC0A9" w14:textId="2F7D10C9" w:rsidR="00B17AFD" w:rsidRDefault="00B17AFD" w:rsidP="00D05F4A">
      <w:pPr>
        <w:contextualSpacing/>
        <w:jc w:val="center"/>
        <w:rPr>
          <w:b/>
          <w:bCs/>
        </w:rPr>
      </w:pPr>
      <w:r w:rsidRPr="00B17AFD">
        <w:rPr>
          <w:b/>
          <w:bCs/>
        </w:rPr>
        <w:t>Prognoza dotycząca wielkości oraz stanu technicznego zasobu mieszkaniowego gminy w poszczególnych latach</w:t>
      </w:r>
    </w:p>
    <w:p w14:paraId="67C0FB6C" w14:textId="77777777" w:rsidR="00B17AFD" w:rsidRDefault="00B17AFD" w:rsidP="00B17AFD">
      <w:pPr>
        <w:contextualSpacing/>
        <w:jc w:val="center"/>
        <w:rPr>
          <w:b/>
          <w:bCs/>
        </w:rPr>
      </w:pPr>
    </w:p>
    <w:p w14:paraId="4C9BDD0D" w14:textId="7C89F2BE" w:rsidR="00AE288E" w:rsidRDefault="00B17AFD" w:rsidP="00D05F4A">
      <w:pPr>
        <w:contextualSpacing/>
        <w:jc w:val="both"/>
      </w:pPr>
      <w:r w:rsidRPr="00AE288E">
        <w:rPr>
          <w:b/>
          <w:bCs/>
        </w:rPr>
        <w:t>§</w:t>
      </w:r>
      <w:r w:rsidR="00997F49">
        <w:rPr>
          <w:b/>
          <w:bCs/>
        </w:rPr>
        <w:t xml:space="preserve"> </w:t>
      </w:r>
      <w:r w:rsidRPr="00AE288E">
        <w:rPr>
          <w:b/>
          <w:bCs/>
        </w:rPr>
        <w:t xml:space="preserve">3. </w:t>
      </w:r>
      <w:r w:rsidRPr="00F45C4D">
        <w:t>1.</w:t>
      </w:r>
      <w:r>
        <w:t xml:space="preserve"> Gmina </w:t>
      </w:r>
      <w:r w:rsidR="00AE288E">
        <w:t>Komorniki posiada i tworzy mieszkaniowy zasób w celu zaspokajania potrzeb mieszkańców Gminy Komorniki.</w:t>
      </w:r>
    </w:p>
    <w:p w14:paraId="32EFB44D" w14:textId="77777777" w:rsidR="00B4074C" w:rsidRDefault="00B4074C" w:rsidP="00D05F4A">
      <w:pPr>
        <w:contextualSpacing/>
        <w:jc w:val="both"/>
      </w:pPr>
    </w:p>
    <w:p w14:paraId="40AF8051" w14:textId="6E5FC60C" w:rsidR="00AE288E" w:rsidRDefault="00AE288E" w:rsidP="00D05F4A">
      <w:pPr>
        <w:contextualSpacing/>
        <w:jc w:val="both"/>
      </w:pPr>
      <w:r w:rsidRPr="00F45C4D">
        <w:t>2.</w:t>
      </w:r>
      <w:r>
        <w:t xml:space="preserve"> W skład mieszkaniowego zasobu Gminy Komorniki wchodzi </w:t>
      </w:r>
      <w:r w:rsidR="00FD47E4">
        <w:t xml:space="preserve">10 budynków spełniających w całości funkcję mieszkaniową (łącznie 71 lokali mieszkalnych), 3 lokale położone na nieruchomościach wspólnych, 1 lokal położony w budynku mieszkalnym, jednorodzinnym oraz 4 lokale położone na nieruchomości spełniającej funkcję mieszkalno-użytkową. </w:t>
      </w:r>
    </w:p>
    <w:p w14:paraId="53985EB6" w14:textId="77777777" w:rsidR="00FD47E4" w:rsidRDefault="00FD47E4" w:rsidP="00D05F4A">
      <w:pPr>
        <w:contextualSpacing/>
        <w:jc w:val="both"/>
      </w:pPr>
    </w:p>
    <w:p w14:paraId="2F7AB8C6" w14:textId="05D3F2AB" w:rsidR="00FD47E4" w:rsidRDefault="00FD47E4" w:rsidP="00D05F4A">
      <w:pPr>
        <w:contextualSpacing/>
        <w:jc w:val="both"/>
      </w:pPr>
      <w:r w:rsidRPr="00FD47E4">
        <w:rPr>
          <w:b/>
          <w:bCs/>
        </w:rPr>
        <w:t xml:space="preserve">§ 4. </w:t>
      </w:r>
      <w:r w:rsidRPr="00F45C4D">
        <w:t>1.</w:t>
      </w:r>
      <w:r>
        <w:t xml:space="preserve"> Zestawienie budynków i lokali mieszkalnych wchodzących w skład mieszkaniowego zasobu Gminy Komorniki</w:t>
      </w:r>
      <w:r w:rsidR="00EF4357">
        <w:t>,</w:t>
      </w:r>
      <w:r>
        <w:t xml:space="preserve"> według stanu na dzi</w:t>
      </w:r>
      <w:r w:rsidRPr="0000459C">
        <w:t xml:space="preserve">eń </w:t>
      </w:r>
      <w:r w:rsidR="0000459C" w:rsidRPr="0000459C">
        <w:t>30</w:t>
      </w:r>
      <w:r w:rsidRPr="0000459C">
        <w:t>.1</w:t>
      </w:r>
      <w:r w:rsidR="0000459C" w:rsidRPr="0000459C">
        <w:t>1</w:t>
      </w:r>
      <w:r w:rsidRPr="0000459C">
        <w:t>.2024 r.</w:t>
      </w:r>
    </w:p>
    <w:p w14:paraId="5EAD4B81" w14:textId="77777777" w:rsidR="00E142E9" w:rsidRDefault="00E142E9" w:rsidP="00B17AFD">
      <w:pPr>
        <w:contextualSpacing/>
      </w:pPr>
    </w:p>
    <w:tbl>
      <w:tblPr>
        <w:tblStyle w:val="Tabela-Siatka"/>
        <w:tblW w:w="0" w:type="auto"/>
        <w:tblLook w:val="04A0" w:firstRow="1" w:lastRow="0" w:firstColumn="1" w:lastColumn="0" w:noHBand="0" w:noVBand="1"/>
      </w:tblPr>
      <w:tblGrid>
        <w:gridCol w:w="704"/>
        <w:gridCol w:w="2920"/>
        <w:gridCol w:w="1812"/>
        <w:gridCol w:w="1813"/>
        <w:gridCol w:w="1813"/>
      </w:tblGrid>
      <w:tr w:rsidR="00E142E9" w14:paraId="5E94018E" w14:textId="77777777" w:rsidTr="00380301">
        <w:tc>
          <w:tcPr>
            <w:tcW w:w="704" w:type="dxa"/>
            <w:vAlign w:val="center"/>
          </w:tcPr>
          <w:p w14:paraId="40A70EA3" w14:textId="72C3EE81" w:rsidR="00E142E9" w:rsidRDefault="00E142E9" w:rsidP="00E142E9">
            <w:pPr>
              <w:contextualSpacing/>
              <w:jc w:val="center"/>
            </w:pPr>
            <w:r>
              <w:t>Lp.</w:t>
            </w:r>
          </w:p>
        </w:tc>
        <w:tc>
          <w:tcPr>
            <w:tcW w:w="2920" w:type="dxa"/>
            <w:vAlign w:val="center"/>
          </w:tcPr>
          <w:p w14:paraId="63E95DF3" w14:textId="2C231A15" w:rsidR="00E142E9" w:rsidRDefault="00E142E9" w:rsidP="00E142E9">
            <w:pPr>
              <w:contextualSpacing/>
              <w:jc w:val="center"/>
            </w:pPr>
            <w:r>
              <w:t>Adres budynku</w:t>
            </w:r>
            <w:r w:rsidR="00D05F4A">
              <w:t>/lokalu</w:t>
            </w:r>
          </w:p>
        </w:tc>
        <w:tc>
          <w:tcPr>
            <w:tcW w:w="1812" w:type="dxa"/>
            <w:vAlign w:val="center"/>
          </w:tcPr>
          <w:p w14:paraId="0AC63236" w14:textId="60146706" w:rsidR="00E142E9" w:rsidRDefault="00E142E9" w:rsidP="00E142E9">
            <w:pPr>
              <w:contextualSpacing/>
              <w:jc w:val="center"/>
            </w:pPr>
            <w:r>
              <w:t>Liczba lokali</w:t>
            </w:r>
          </w:p>
        </w:tc>
        <w:tc>
          <w:tcPr>
            <w:tcW w:w="1813" w:type="dxa"/>
            <w:vAlign w:val="center"/>
          </w:tcPr>
          <w:p w14:paraId="7080E98D" w14:textId="49148289" w:rsidR="00E142E9" w:rsidRPr="00E142E9" w:rsidRDefault="00E142E9" w:rsidP="00E142E9">
            <w:pPr>
              <w:contextualSpacing/>
              <w:jc w:val="center"/>
            </w:pPr>
            <w:r>
              <w:t xml:space="preserve">Powierzchnia użytkowa </w:t>
            </w:r>
            <w:r w:rsidR="006342D0">
              <w:t xml:space="preserve">lokali </w:t>
            </w:r>
            <w:r>
              <w:t>(m</w:t>
            </w:r>
            <w:r>
              <w:rPr>
                <w:vertAlign w:val="superscript"/>
              </w:rPr>
              <w:t>2</w:t>
            </w:r>
            <w:r>
              <w:t>)</w:t>
            </w:r>
          </w:p>
        </w:tc>
        <w:tc>
          <w:tcPr>
            <w:tcW w:w="1813" w:type="dxa"/>
            <w:vAlign w:val="center"/>
          </w:tcPr>
          <w:p w14:paraId="1C8CBF4F" w14:textId="4F16D5B0" w:rsidR="00E142E9" w:rsidRDefault="00E142E9" w:rsidP="00E142E9">
            <w:pPr>
              <w:contextualSpacing/>
              <w:jc w:val="center"/>
            </w:pPr>
            <w:r>
              <w:t>Forma władania</w:t>
            </w:r>
          </w:p>
        </w:tc>
      </w:tr>
      <w:tr w:rsidR="00E142E9" w14:paraId="76B33BDA" w14:textId="77777777" w:rsidTr="00380301">
        <w:tc>
          <w:tcPr>
            <w:tcW w:w="704" w:type="dxa"/>
          </w:tcPr>
          <w:p w14:paraId="6F0C85D7" w14:textId="74901A44" w:rsidR="00E142E9" w:rsidRDefault="00E142E9" w:rsidP="00E142E9">
            <w:pPr>
              <w:contextualSpacing/>
              <w:jc w:val="center"/>
            </w:pPr>
            <w:r>
              <w:t>1</w:t>
            </w:r>
          </w:p>
        </w:tc>
        <w:tc>
          <w:tcPr>
            <w:tcW w:w="2920" w:type="dxa"/>
          </w:tcPr>
          <w:p w14:paraId="4E778077" w14:textId="39E9C3ED" w:rsidR="00E142E9" w:rsidRDefault="00E142E9" w:rsidP="00B17AFD">
            <w:pPr>
              <w:contextualSpacing/>
            </w:pPr>
            <w:r>
              <w:t>Komorniki, ul. Ogrodowa 8</w:t>
            </w:r>
          </w:p>
        </w:tc>
        <w:tc>
          <w:tcPr>
            <w:tcW w:w="1812" w:type="dxa"/>
          </w:tcPr>
          <w:p w14:paraId="59883CB5" w14:textId="18B83497" w:rsidR="00E142E9" w:rsidRDefault="00284EAD" w:rsidP="00284EAD">
            <w:pPr>
              <w:contextualSpacing/>
              <w:jc w:val="center"/>
            </w:pPr>
            <w:r>
              <w:t>2</w:t>
            </w:r>
          </w:p>
        </w:tc>
        <w:tc>
          <w:tcPr>
            <w:tcW w:w="1813" w:type="dxa"/>
          </w:tcPr>
          <w:p w14:paraId="5A8DBFAC" w14:textId="7F902E68" w:rsidR="00E142E9" w:rsidRDefault="006342D0" w:rsidP="006342D0">
            <w:pPr>
              <w:contextualSpacing/>
              <w:jc w:val="center"/>
            </w:pPr>
            <w:r>
              <w:t>104,54</w:t>
            </w:r>
          </w:p>
        </w:tc>
        <w:tc>
          <w:tcPr>
            <w:tcW w:w="1813" w:type="dxa"/>
          </w:tcPr>
          <w:p w14:paraId="0AFF141C" w14:textId="49517C47" w:rsidR="00E142E9" w:rsidRDefault="00284EAD" w:rsidP="00284EAD">
            <w:pPr>
              <w:contextualSpacing/>
              <w:jc w:val="center"/>
            </w:pPr>
            <w:r>
              <w:t>własność</w:t>
            </w:r>
          </w:p>
        </w:tc>
      </w:tr>
      <w:tr w:rsidR="00E142E9" w14:paraId="1BBA3683" w14:textId="77777777" w:rsidTr="00380301">
        <w:tc>
          <w:tcPr>
            <w:tcW w:w="704" w:type="dxa"/>
          </w:tcPr>
          <w:p w14:paraId="550C178D" w14:textId="574C8E73" w:rsidR="00E142E9" w:rsidRDefault="00E142E9" w:rsidP="00E142E9">
            <w:pPr>
              <w:contextualSpacing/>
              <w:jc w:val="center"/>
            </w:pPr>
            <w:r>
              <w:t>2</w:t>
            </w:r>
          </w:p>
        </w:tc>
        <w:tc>
          <w:tcPr>
            <w:tcW w:w="2920" w:type="dxa"/>
          </w:tcPr>
          <w:p w14:paraId="4BF051B7" w14:textId="3B865FA0" w:rsidR="00E142E9" w:rsidRDefault="00E142E9" w:rsidP="00B17AFD">
            <w:pPr>
              <w:contextualSpacing/>
            </w:pPr>
            <w:r>
              <w:t>Komorniki, ul. Pocztowa 30</w:t>
            </w:r>
          </w:p>
        </w:tc>
        <w:tc>
          <w:tcPr>
            <w:tcW w:w="1812" w:type="dxa"/>
          </w:tcPr>
          <w:p w14:paraId="5D7BBCFC" w14:textId="6799173A" w:rsidR="00E142E9" w:rsidRDefault="00284EAD" w:rsidP="00284EAD">
            <w:pPr>
              <w:contextualSpacing/>
              <w:jc w:val="center"/>
            </w:pPr>
            <w:r>
              <w:t>8</w:t>
            </w:r>
          </w:p>
        </w:tc>
        <w:tc>
          <w:tcPr>
            <w:tcW w:w="1813" w:type="dxa"/>
          </w:tcPr>
          <w:p w14:paraId="6F0DF1C6" w14:textId="0B25B7B2" w:rsidR="00E142E9" w:rsidRDefault="006342D0" w:rsidP="006342D0">
            <w:pPr>
              <w:contextualSpacing/>
              <w:jc w:val="center"/>
            </w:pPr>
            <w:r>
              <w:t>261,25</w:t>
            </w:r>
          </w:p>
        </w:tc>
        <w:tc>
          <w:tcPr>
            <w:tcW w:w="1813" w:type="dxa"/>
          </w:tcPr>
          <w:p w14:paraId="05013E28" w14:textId="1DB69264" w:rsidR="00E142E9" w:rsidRDefault="00284EAD" w:rsidP="00284EAD">
            <w:pPr>
              <w:contextualSpacing/>
              <w:jc w:val="center"/>
            </w:pPr>
            <w:r>
              <w:t>własność</w:t>
            </w:r>
          </w:p>
        </w:tc>
      </w:tr>
      <w:tr w:rsidR="00E142E9" w14:paraId="41EF1D5A" w14:textId="77777777" w:rsidTr="00380301">
        <w:tc>
          <w:tcPr>
            <w:tcW w:w="704" w:type="dxa"/>
          </w:tcPr>
          <w:p w14:paraId="51C9F8FC" w14:textId="2F01B369" w:rsidR="00E142E9" w:rsidRDefault="00E142E9" w:rsidP="00E142E9">
            <w:pPr>
              <w:contextualSpacing/>
              <w:jc w:val="center"/>
            </w:pPr>
            <w:r>
              <w:t>3</w:t>
            </w:r>
          </w:p>
        </w:tc>
        <w:tc>
          <w:tcPr>
            <w:tcW w:w="2920" w:type="dxa"/>
          </w:tcPr>
          <w:p w14:paraId="4C61BAA1" w14:textId="5A31D96A" w:rsidR="00E142E9" w:rsidRDefault="00284EAD" w:rsidP="00B17AFD">
            <w:pPr>
              <w:contextualSpacing/>
            </w:pPr>
            <w:r>
              <w:t>Komorniki, ul. Zakładowa 1</w:t>
            </w:r>
          </w:p>
        </w:tc>
        <w:tc>
          <w:tcPr>
            <w:tcW w:w="1812" w:type="dxa"/>
          </w:tcPr>
          <w:p w14:paraId="5C419F95" w14:textId="771CE8DE" w:rsidR="00E142E9" w:rsidRDefault="00284EAD" w:rsidP="00284EAD">
            <w:pPr>
              <w:contextualSpacing/>
              <w:jc w:val="center"/>
            </w:pPr>
            <w:r>
              <w:t>3</w:t>
            </w:r>
          </w:p>
        </w:tc>
        <w:tc>
          <w:tcPr>
            <w:tcW w:w="1813" w:type="dxa"/>
          </w:tcPr>
          <w:p w14:paraId="5C9402F3" w14:textId="70F6EAB5" w:rsidR="00E142E9" w:rsidRDefault="006342D0" w:rsidP="006342D0">
            <w:pPr>
              <w:contextualSpacing/>
              <w:jc w:val="center"/>
            </w:pPr>
            <w:r>
              <w:t>157,49</w:t>
            </w:r>
          </w:p>
        </w:tc>
        <w:tc>
          <w:tcPr>
            <w:tcW w:w="1813" w:type="dxa"/>
          </w:tcPr>
          <w:p w14:paraId="35420CBA" w14:textId="2C07DE71" w:rsidR="00E142E9" w:rsidRDefault="00284EAD" w:rsidP="00284EAD">
            <w:pPr>
              <w:contextualSpacing/>
              <w:jc w:val="center"/>
            </w:pPr>
            <w:r>
              <w:t>własność</w:t>
            </w:r>
          </w:p>
        </w:tc>
      </w:tr>
      <w:tr w:rsidR="00284EAD" w14:paraId="1FB5FFE0" w14:textId="77777777" w:rsidTr="00380301">
        <w:tc>
          <w:tcPr>
            <w:tcW w:w="704" w:type="dxa"/>
          </w:tcPr>
          <w:p w14:paraId="0D45E11C" w14:textId="6F4C909E" w:rsidR="00284EAD" w:rsidRDefault="00284EAD" w:rsidP="00284EAD">
            <w:pPr>
              <w:contextualSpacing/>
              <w:jc w:val="center"/>
            </w:pPr>
            <w:r>
              <w:t>4</w:t>
            </w:r>
          </w:p>
        </w:tc>
        <w:tc>
          <w:tcPr>
            <w:tcW w:w="2920" w:type="dxa"/>
          </w:tcPr>
          <w:p w14:paraId="4CD9B9BA" w14:textId="1EC03C66" w:rsidR="00284EAD" w:rsidRDefault="00284EAD" w:rsidP="00284EAD">
            <w:pPr>
              <w:contextualSpacing/>
            </w:pPr>
            <w:r>
              <w:t>Plewiska, ul. Szkolna 149</w:t>
            </w:r>
          </w:p>
        </w:tc>
        <w:tc>
          <w:tcPr>
            <w:tcW w:w="1812" w:type="dxa"/>
          </w:tcPr>
          <w:p w14:paraId="57B6E425" w14:textId="2B1E783F" w:rsidR="00284EAD" w:rsidRDefault="00284EAD" w:rsidP="00284EAD">
            <w:pPr>
              <w:contextualSpacing/>
              <w:jc w:val="center"/>
            </w:pPr>
            <w:r>
              <w:t>6</w:t>
            </w:r>
          </w:p>
        </w:tc>
        <w:tc>
          <w:tcPr>
            <w:tcW w:w="1813" w:type="dxa"/>
          </w:tcPr>
          <w:p w14:paraId="1E5B3589" w14:textId="1BDE8B79" w:rsidR="00284EAD" w:rsidRDefault="006342D0" w:rsidP="006342D0">
            <w:pPr>
              <w:contextualSpacing/>
              <w:jc w:val="center"/>
            </w:pPr>
            <w:r>
              <w:t>310,70</w:t>
            </w:r>
          </w:p>
        </w:tc>
        <w:tc>
          <w:tcPr>
            <w:tcW w:w="1813" w:type="dxa"/>
          </w:tcPr>
          <w:p w14:paraId="2C21974C" w14:textId="4FDAA79E" w:rsidR="00284EAD" w:rsidRDefault="00380301" w:rsidP="00284EAD">
            <w:pPr>
              <w:contextualSpacing/>
              <w:jc w:val="center"/>
            </w:pPr>
            <w:r>
              <w:t>w</w:t>
            </w:r>
            <w:r w:rsidR="00284EAD">
              <w:t>łasność</w:t>
            </w:r>
          </w:p>
        </w:tc>
      </w:tr>
      <w:tr w:rsidR="00284EAD" w14:paraId="5DA1A8D0" w14:textId="77777777" w:rsidTr="00380301">
        <w:tc>
          <w:tcPr>
            <w:tcW w:w="704" w:type="dxa"/>
          </w:tcPr>
          <w:p w14:paraId="2425EFDF" w14:textId="6754F68E" w:rsidR="00284EAD" w:rsidRDefault="00284EAD" w:rsidP="00284EAD">
            <w:pPr>
              <w:contextualSpacing/>
              <w:jc w:val="center"/>
            </w:pPr>
            <w:r>
              <w:t>5</w:t>
            </w:r>
          </w:p>
        </w:tc>
        <w:tc>
          <w:tcPr>
            <w:tcW w:w="2920" w:type="dxa"/>
          </w:tcPr>
          <w:p w14:paraId="5E6FFA07" w14:textId="4FD9E9F3" w:rsidR="00284EAD" w:rsidRDefault="00284EAD" w:rsidP="00284EAD">
            <w:pPr>
              <w:contextualSpacing/>
            </w:pPr>
            <w:r>
              <w:t>Plewiska, ul. Szkolna 151</w:t>
            </w:r>
          </w:p>
        </w:tc>
        <w:tc>
          <w:tcPr>
            <w:tcW w:w="1812" w:type="dxa"/>
          </w:tcPr>
          <w:p w14:paraId="08D7CB58" w14:textId="4AF7DC6E" w:rsidR="00284EAD" w:rsidRDefault="00284EAD" w:rsidP="00284EAD">
            <w:pPr>
              <w:contextualSpacing/>
              <w:jc w:val="center"/>
            </w:pPr>
            <w:r>
              <w:t>3</w:t>
            </w:r>
          </w:p>
        </w:tc>
        <w:tc>
          <w:tcPr>
            <w:tcW w:w="1813" w:type="dxa"/>
          </w:tcPr>
          <w:p w14:paraId="59A0988D" w14:textId="198E781D" w:rsidR="00284EAD" w:rsidRDefault="006342D0" w:rsidP="006342D0">
            <w:pPr>
              <w:contextualSpacing/>
              <w:jc w:val="center"/>
            </w:pPr>
            <w:r>
              <w:t>107,37</w:t>
            </w:r>
          </w:p>
        </w:tc>
        <w:tc>
          <w:tcPr>
            <w:tcW w:w="1813" w:type="dxa"/>
          </w:tcPr>
          <w:p w14:paraId="01095229" w14:textId="1C038943" w:rsidR="00284EAD" w:rsidRDefault="00284EAD" w:rsidP="00284EAD">
            <w:pPr>
              <w:contextualSpacing/>
              <w:jc w:val="center"/>
            </w:pPr>
            <w:r>
              <w:t>własność</w:t>
            </w:r>
          </w:p>
        </w:tc>
      </w:tr>
      <w:tr w:rsidR="00284EAD" w14:paraId="02FD5844" w14:textId="77777777" w:rsidTr="00380301">
        <w:tc>
          <w:tcPr>
            <w:tcW w:w="704" w:type="dxa"/>
          </w:tcPr>
          <w:p w14:paraId="1DD61D11" w14:textId="41839AD9" w:rsidR="00284EAD" w:rsidRDefault="00284EAD" w:rsidP="00284EAD">
            <w:pPr>
              <w:contextualSpacing/>
              <w:jc w:val="center"/>
            </w:pPr>
            <w:r>
              <w:t>6</w:t>
            </w:r>
          </w:p>
        </w:tc>
        <w:tc>
          <w:tcPr>
            <w:tcW w:w="2920" w:type="dxa"/>
          </w:tcPr>
          <w:p w14:paraId="3A25CA87" w14:textId="75F0E165" w:rsidR="00284EAD" w:rsidRDefault="00284EAD" w:rsidP="00284EAD">
            <w:pPr>
              <w:contextualSpacing/>
            </w:pPr>
            <w:r>
              <w:t>Plewiska, ul. Szkolna 155</w:t>
            </w:r>
          </w:p>
        </w:tc>
        <w:tc>
          <w:tcPr>
            <w:tcW w:w="1812" w:type="dxa"/>
          </w:tcPr>
          <w:p w14:paraId="56D75D1B" w14:textId="21D0561C" w:rsidR="00284EAD" w:rsidRDefault="00284EAD" w:rsidP="00284EAD">
            <w:pPr>
              <w:contextualSpacing/>
              <w:jc w:val="center"/>
            </w:pPr>
            <w:r>
              <w:t>7</w:t>
            </w:r>
          </w:p>
        </w:tc>
        <w:tc>
          <w:tcPr>
            <w:tcW w:w="1813" w:type="dxa"/>
          </w:tcPr>
          <w:p w14:paraId="1F1BBA44" w14:textId="09DE4D9E" w:rsidR="00284EAD" w:rsidRDefault="006342D0" w:rsidP="006342D0">
            <w:pPr>
              <w:contextualSpacing/>
              <w:jc w:val="center"/>
            </w:pPr>
            <w:r>
              <w:t>301,95</w:t>
            </w:r>
          </w:p>
        </w:tc>
        <w:tc>
          <w:tcPr>
            <w:tcW w:w="1813" w:type="dxa"/>
          </w:tcPr>
          <w:p w14:paraId="05C573EF" w14:textId="2500C522" w:rsidR="00284EAD" w:rsidRDefault="00284EAD" w:rsidP="00284EAD">
            <w:pPr>
              <w:contextualSpacing/>
              <w:jc w:val="center"/>
            </w:pPr>
            <w:r>
              <w:t>własność</w:t>
            </w:r>
          </w:p>
        </w:tc>
      </w:tr>
      <w:tr w:rsidR="00284EAD" w14:paraId="6048FBBC" w14:textId="77777777" w:rsidTr="00380301">
        <w:tc>
          <w:tcPr>
            <w:tcW w:w="704" w:type="dxa"/>
          </w:tcPr>
          <w:p w14:paraId="4C2FE445" w14:textId="70D85AEF" w:rsidR="00284EAD" w:rsidRDefault="00284EAD" w:rsidP="00284EAD">
            <w:pPr>
              <w:contextualSpacing/>
              <w:jc w:val="center"/>
            </w:pPr>
            <w:r>
              <w:t>7</w:t>
            </w:r>
          </w:p>
        </w:tc>
        <w:tc>
          <w:tcPr>
            <w:tcW w:w="2920" w:type="dxa"/>
          </w:tcPr>
          <w:p w14:paraId="6455146B" w14:textId="3503E2E4" w:rsidR="00284EAD" w:rsidRDefault="00284EAD" w:rsidP="00284EAD">
            <w:pPr>
              <w:contextualSpacing/>
            </w:pPr>
            <w:r>
              <w:t>Plewiska, ul. Szkolna 155A</w:t>
            </w:r>
          </w:p>
        </w:tc>
        <w:tc>
          <w:tcPr>
            <w:tcW w:w="1812" w:type="dxa"/>
          </w:tcPr>
          <w:p w14:paraId="2EFD2630" w14:textId="50842419" w:rsidR="00284EAD" w:rsidRDefault="00284EAD" w:rsidP="00284EAD">
            <w:pPr>
              <w:contextualSpacing/>
              <w:jc w:val="center"/>
            </w:pPr>
            <w:r>
              <w:t>8</w:t>
            </w:r>
          </w:p>
        </w:tc>
        <w:tc>
          <w:tcPr>
            <w:tcW w:w="1813" w:type="dxa"/>
          </w:tcPr>
          <w:p w14:paraId="40AEC6B2" w14:textId="7392C73E" w:rsidR="00284EAD" w:rsidRDefault="006342D0" w:rsidP="006342D0">
            <w:pPr>
              <w:contextualSpacing/>
              <w:jc w:val="center"/>
            </w:pPr>
            <w:r>
              <w:t>379,00</w:t>
            </w:r>
          </w:p>
        </w:tc>
        <w:tc>
          <w:tcPr>
            <w:tcW w:w="1813" w:type="dxa"/>
          </w:tcPr>
          <w:p w14:paraId="0C096A8B" w14:textId="2FCB1770" w:rsidR="00284EAD" w:rsidRDefault="00284EAD" w:rsidP="00284EAD">
            <w:pPr>
              <w:contextualSpacing/>
              <w:jc w:val="center"/>
            </w:pPr>
            <w:r>
              <w:t>własność</w:t>
            </w:r>
          </w:p>
        </w:tc>
      </w:tr>
      <w:tr w:rsidR="00284EAD" w14:paraId="0EA1B6EB" w14:textId="77777777" w:rsidTr="00380301">
        <w:tc>
          <w:tcPr>
            <w:tcW w:w="704" w:type="dxa"/>
          </w:tcPr>
          <w:p w14:paraId="457911A0" w14:textId="20E5B2C5" w:rsidR="00284EAD" w:rsidRDefault="00284EAD" w:rsidP="00284EAD">
            <w:pPr>
              <w:contextualSpacing/>
              <w:jc w:val="center"/>
            </w:pPr>
            <w:r>
              <w:t>8</w:t>
            </w:r>
          </w:p>
        </w:tc>
        <w:tc>
          <w:tcPr>
            <w:tcW w:w="2920" w:type="dxa"/>
          </w:tcPr>
          <w:p w14:paraId="50A60CA7" w14:textId="712420C3" w:rsidR="00284EAD" w:rsidRDefault="00284EAD" w:rsidP="00284EAD">
            <w:pPr>
              <w:contextualSpacing/>
            </w:pPr>
            <w:r>
              <w:t>Plewiska, ul. Szkolna 157</w:t>
            </w:r>
          </w:p>
        </w:tc>
        <w:tc>
          <w:tcPr>
            <w:tcW w:w="1812" w:type="dxa"/>
          </w:tcPr>
          <w:p w14:paraId="0D40413B" w14:textId="7869A833" w:rsidR="00284EAD" w:rsidRDefault="00284EAD" w:rsidP="00284EAD">
            <w:pPr>
              <w:contextualSpacing/>
              <w:jc w:val="center"/>
            </w:pPr>
            <w:r>
              <w:t>8</w:t>
            </w:r>
          </w:p>
        </w:tc>
        <w:tc>
          <w:tcPr>
            <w:tcW w:w="1813" w:type="dxa"/>
          </w:tcPr>
          <w:p w14:paraId="751330BF" w14:textId="474DDE75" w:rsidR="00284EAD" w:rsidRDefault="006342D0" w:rsidP="006342D0">
            <w:pPr>
              <w:contextualSpacing/>
              <w:jc w:val="center"/>
            </w:pPr>
            <w:r>
              <w:t>372,08</w:t>
            </w:r>
          </w:p>
        </w:tc>
        <w:tc>
          <w:tcPr>
            <w:tcW w:w="1813" w:type="dxa"/>
          </w:tcPr>
          <w:p w14:paraId="7C42180D" w14:textId="7852ED61" w:rsidR="00284EAD" w:rsidRDefault="00284EAD" w:rsidP="00284EAD">
            <w:pPr>
              <w:contextualSpacing/>
              <w:jc w:val="center"/>
            </w:pPr>
            <w:r>
              <w:t>własność</w:t>
            </w:r>
          </w:p>
        </w:tc>
      </w:tr>
      <w:tr w:rsidR="00284EAD" w14:paraId="02725CAC" w14:textId="77777777" w:rsidTr="00380301">
        <w:tc>
          <w:tcPr>
            <w:tcW w:w="704" w:type="dxa"/>
          </w:tcPr>
          <w:p w14:paraId="3F400DDD" w14:textId="2707E1D8" w:rsidR="00284EAD" w:rsidRDefault="00284EAD" w:rsidP="00284EAD">
            <w:pPr>
              <w:contextualSpacing/>
              <w:jc w:val="center"/>
            </w:pPr>
            <w:r>
              <w:t>9</w:t>
            </w:r>
          </w:p>
        </w:tc>
        <w:tc>
          <w:tcPr>
            <w:tcW w:w="2920" w:type="dxa"/>
          </w:tcPr>
          <w:p w14:paraId="1760B493" w14:textId="1209D42D" w:rsidR="00284EAD" w:rsidRDefault="00284EAD" w:rsidP="00284EAD">
            <w:pPr>
              <w:contextualSpacing/>
            </w:pPr>
            <w:r>
              <w:t>Plewiska, ul. Kolejowa 4</w:t>
            </w:r>
          </w:p>
        </w:tc>
        <w:tc>
          <w:tcPr>
            <w:tcW w:w="1812" w:type="dxa"/>
          </w:tcPr>
          <w:p w14:paraId="73FC2458" w14:textId="0866938F" w:rsidR="00284EAD" w:rsidRDefault="00284EAD" w:rsidP="00284EAD">
            <w:pPr>
              <w:contextualSpacing/>
              <w:jc w:val="center"/>
            </w:pPr>
            <w:r>
              <w:t>5</w:t>
            </w:r>
          </w:p>
        </w:tc>
        <w:tc>
          <w:tcPr>
            <w:tcW w:w="1813" w:type="dxa"/>
          </w:tcPr>
          <w:p w14:paraId="2B0B45F9" w14:textId="4A9A2280" w:rsidR="00284EAD" w:rsidRDefault="006342D0" w:rsidP="006342D0">
            <w:pPr>
              <w:contextualSpacing/>
              <w:jc w:val="center"/>
            </w:pPr>
            <w:r>
              <w:t>272,17</w:t>
            </w:r>
          </w:p>
        </w:tc>
        <w:tc>
          <w:tcPr>
            <w:tcW w:w="1813" w:type="dxa"/>
          </w:tcPr>
          <w:p w14:paraId="6A881AA0" w14:textId="0D815249" w:rsidR="00284EAD" w:rsidRDefault="00284EAD" w:rsidP="00284EAD">
            <w:pPr>
              <w:contextualSpacing/>
              <w:jc w:val="center"/>
            </w:pPr>
            <w:r>
              <w:t>własność</w:t>
            </w:r>
          </w:p>
        </w:tc>
      </w:tr>
      <w:tr w:rsidR="00284EAD" w14:paraId="7A924DE9" w14:textId="77777777" w:rsidTr="00380301">
        <w:tc>
          <w:tcPr>
            <w:tcW w:w="704" w:type="dxa"/>
          </w:tcPr>
          <w:p w14:paraId="14877A9F" w14:textId="05735144" w:rsidR="00284EAD" w:rsidRDefault="00284EAD" w:rsidP="00284EAD">
            <w:pPr>
              <w:contextualSpacing/>
              <w:jc w:val="center"/>
            </w:pPr>
            <w:r>
              <w:t>10</w:t>
            </w:r>
          </w:p>
        </w:tc>
        <w:tc>
          <w:tcPr>
            <w:tcW w:w="2920" w:type="dxa"/>
          </w:tcPr>
          <w:p w14:paraId="2C77ED05" w14:textId="1E1D753A" w:rsidR="00284EAD" w:rsidRDefault="00284EAD" w:rsidP="00284EAD">
            <w:pPr>
              <w:contextualSpacing/>
            </w:pPr>
            <w:r>
              <w:t>Plewiska, ul. Zielarska 4</w:t>
            </w:r>
          </w:p>
        </w:tc>
        <w:tc>
          <w:tcPr>
            <w:tcW w:w="1812" w:type="dxa"/>
          </w:tcPr>
          <w:p w14:paraId="0FCCA8B1" w14:textId="06151F4F" w:rsidR="00284EAD" w:rsidRDefault="00284EAD" w:rsidP="00284EAD">
            <w:pPr>
              <w:contextualSpacing/>
              <w:jc w:val="center"/>
            </w:pPr>
            <w:r>
              <w:t>16</w:t>
            </w:r>
          </w:p>
        </w:tc>
        <w:tc>
          <w:tcPr>
            <w:tcW w:w="1813" w:type="dxa"/>
          </w:tcPr>
          <w:p w14:paraId="397059E7" w14:textId="4BA0514F" w:rsidR="00284EAD" w:rsidRDefault="006342D0" w:rsidP="006342D0">
            <w:pPr>
              <w:contextualSpacing/>
              <w:jc w:val="center"/>
            </w:pPr>
            <w:r>
              <w:t>834,37</w:t>
            </w:r>
          </w:p>
        </w:tc>
        <w:tc>
          <w:tcPr>
            <w:tcW w:w="1813" w:type="dxa"/>
          </w:tcPr>
          <w:p w14:paraId="2635D753" w14:textId="35E0CEE4" w:rsidR="00284EAD" w:rsidRDefault="00284EAD" w:rsidP="00284EAD">
            <w:pPr>
              <w:contextualSpacing/>
              <w:jc w:val="center"/>
            </w:pPr>
            <w:r>
              <w:t>własność</w:t>
            </w:r>
          </w:p>
        </w:tc>
      </w:tr>
      <w:tr w:rsidR="00284EAD" w14:paraId="6E2BC9B2" w14:textId="77777777" w:rsidTr="00380301">
        <w:tc>
          <w:tcPr>
            <w:tcW w:w="704" w:type="dxa"/>
          </w:tcPr>
          <w:p w14:paraId="6E6DC437" w14:textId="2EF381A5" w:rsidR="00284EAD" w:rsidRDefault="00284EAD" w:rsidP="00284EAD">
            <w:pPr>
              <w:contextualSpacing/>
              <w:jc w:val="center"/>
            </w:pPr>
            <w:r>
              <w:t>11</w:t>
            </w:r>
          </w:p>
        </w:tc>
        <w:tc>
          <w:tcPr>
            <w:tcW w:w="2920" w:type="dxa"/>
          </w:tcPr>
          <w:p w14:paraId="040D51BE" w14:textId="6B26F25B" w:rsidR="00284EAD" w:rsidRDefault="00284EAD" w:rsidP="00284EAD">
            <w:pPr>
              <w:contextualSpacing/>
            </w:pPr>
            <w:r>
              <w:t>Plewiska, ul. Zielarska 17</w:t>
            </w:r>
          </w:p>
        </w:tc>
        <w:tc>
          <w:tcPr>
            <w:tcW w:w="1812" w:type="dxa"/>
          </w:tcPr>
          <w:p w14:paraId="0E059EE6" w14:textId="6DC638EE" w:rsidR="00284EAD" w:rsidRDefault="00284EAD" w:rsidP="00284EAD">
            <w:pPr>
              <w:contextualSpacing/>
              <w:jc w:val="center"/>
            </w:pPr>
            <w:r>
              <w:t>8</w:t>
            </w:r>
          </w:p>
        </w:tc>
        <w:tc>
          <w:tcPr>
            <w:tcW w:w="1813" w:type="dxa"/>
          </w:tcPr>
          <w:p w14:paraId="08AD8BDD" w14:textId="2216F137" w:rsidR="00284EAD" w:rsidRDefault="006342D0" w:rsidP="006342D0">
            <w:pPr>
              <w:contextualSpacing/>
              <w:jc w:val="center"/>
            </w:pPr>
            <w:r>
              <w:t>421,40</w:t>
            </w:r>
          </w:p>
        </w:tc>
        <w:tc>
          <w:tcPr>
            <w:tcW w:w="1813" w:type="dxa"/>
          </w:tcPr>
          <w:p w14:paraId="04DB5A81" w14:textId="6934B44A" w:rsidR="00284EAD" w:rsidRDefault="00284EAD" w:rsidP="00284EAD">
            <w:pPr>
              <w:contextualSpacing/>
              <w:jc w:val="center"/>
            </w:pPr>
            <w:r>
              <w:t>własność</w:t>
            </w:r>
          </w:p>
        </w:tc>
      </w:tr>
      <w:tr w:rsidR="00284EAD" w14:paraId="14914DA5" w14:textId="77777777" w:rsidTr="00380301">
        <w:tc>
          <w:tcPr>
            <w:tcW w:w="704" w:type="dxa"/>
          </w:tcPr>
          <w:p w14:paraId="17FE73FD" w14:textId="74A03FB1" w:rsidR="00284EAD" w:rsidRDefault="00284EAD" w:rsidP="00284EAD">
            <w:pPr>
              <w:contextualSpacing/>
              <w:jc w:val="center"/>
            </w:pPr>
            <w:r>
              <w:t>12</w:t>
            </w:r>
          </w:p>
        </w:tc>
        <w:tc>
          <w:tcPr>
            <w:tcW w:w="2920" w:type="dxa"/>
          </w:tcPr>
          <w:p w14:paraId="17B47732" w14:textId="1C4A4428" w:rsidR="00284EAD" w:rsidRDefault="00284EAD" w:rsidP="00284EAD">
            <w:pPr>
              <w:contextualSpacing/>
            </w:pPr>
            <w:r>
              <w:t>Plewiska, ul. Szkolna 47/2</w:t>
            </w:r>
          </w:p>
        </w:tc>
        <w:tc>
          <w:tcPr>
            <w:tcW w:w="1812" w:type="dxa"/>
          </w:tcPr>
          <w:p w14:paraId="014D7B2E" w14:textId="6882E584" w:rsidR="00284EAD" w:rsidRDefault="00284EAD" w:rsidP="00284EAD">
            <w:pPr>
              <w:contextualSpacing/>
              <w:jc w:val="center"/>
            </w:pPr>
            <w:r>
              <w:t>1</w:t>
            </w:r>
          </w:p>
        </w:tc>
        <w:tc>
          <w:tcPr>
            <w:tcW w:w="1813" w:type="dxa"/>
          </w:tcPr>
          <w:p w14:paraId="147B482A" w14:textId="670EC9F9" w:rsidR="00284EAD" w:rsidRDefault="006342D0" w:rsidP="006342D0">
            <w:pPr>
              <w:contextualSpacing/>
              <w:jc w:val="center"/>
            </w:pPr>
            <w:r>
              <w:t>3</w:t>
            </w:r>
            <w:r w:rsidR="006F179F">
              <w:t>3,50</w:t>
            </w:r>
          </w:p>
        </w:tc>
        <w:tc>
          <w:tcPr>
            <w:tcW w:w="1813" w:type="dxa"/>
          </w:tcPr>
          <w:p w14:paraId="588C2C6E" w14:textId="75E31D3E" w:rsidR="00284EAD" w:rsidRDefault="00284EAD" w:rsidP="00284EAD">
            <w:pPr>
              <w:contextualSpacing/>
              <w:jc w:val="center"/>
            </w:pPr>
            <w:r>
              <w:t>współwłasność</w:t>
            </w:r>
          </w:p>
        </w:tc>
      </w:tr>
      <w:tr w:rsidR="00284EAD" w14:paraId="45585F71" w14:textId="77777777" w:rsidTr="00380301">
        <w:tc>
          <w:tcPr>
            <w:tcW w:w="704" w:type="dxa"/>
            <w:vAlign w:val="center"/>
          </w:tcPr>
          <w:p w14:paraId="48C8CB3D" w14:textId="371632A6" w:rsidR="00284EAD" w:rsidRDefault="00284EAD" w:rsidP="00284EAD">
            <w:pPr>
              <w:contextualSpacing/>
              <w:jc w:val="center"/>
            </w:pPr>
            <w:r>
              <w:lastRenderedPageBreak/>
              <w:t>13</w:t>
            </w:r>
          </w:p>
        </w:tc>
        <w:tc>
          <w:tcPr>
            <w:tcW w:w="2920" w:type="dxa"/>
            <w:vAlign w:val="center"/>
          </w:tcPr>
          <w:p w14:paraId="5A29C8E9" w14:textId="6058BADC" w:rsidR="00284EAD" w:rsidRDefault="00284EAD" w:rsidP="00284EAD">
            <w:pPr>
              <w:contextualSpacing/>
            </w:pPr>
            <w:r>
              <w:t>Plewiska, ul. Miętowa 13/2</w:t>
            </w:r>
          </w:p>
        </w:tc>
        <w:tc>
          <w:tcPr>
            <w:tcW w:w="1812" w:type="dxa"/>
            <w:vAlign w:val="center"/>
          </w:tcPr>
          <w:p w14:paraId="100D861D" w14:textId="00ABD7E4" w:rsidR="00284EAD" w:rsidRDefault="00284EAD" w:rsidP="00284EAD">
            <w:pPr>
              <w:contextualSpacing/>
              <w:jc w:val="center"/>
            </w:pPr>
            <w:r>
              <w:t>1</w:t>
            </w:r>
          </w:p>
        </w:tc>
        <w:tc>
          <w:tcPr>
            <w:tcW w:w="1813" w:type="dxa"/>
            <w:vAlign w:val="center"/>
          </w:tcPr>
          <w:p w14:paraId="71DEB67D" w14:textId="4863D7FE" w:rsidR="00284EAD" w:rsidRDefault="006342D0" w:rsidP="006342D0">
            <w:pPr>
              <w:contextualSpacing/>
              <w:jc w:val="center"/>
            </w:pPr>
            <w:r>
              <w:t>48,46</w:t>
            </w:r>
          </w:p>
        </w:tc>
        <w:tc>
          <w:tcPr>
            <w:tcW w:w="1813" w:type="dxa"/>
            <w:vAlign w:val="center"/>
          </w:tcPr>
          <w:p w14:paraId="080BBCD8" w14:textId="465EA375" w:rsidR="00284EAD" w:rsidRDefault="00284EAD" w:rsidP="00284EAD">
            <w:pPr>
              <w:contextualSpacing/>
              <w:jc w:val="center"/>
            </w:pPr>
            <w:r>
              <w:t>wspólnota mieszkaniowa</w:t>
            </w:r>
          </w:p>
        </w:tc>
      </w:tr>
      <w:tr w:rsidR="00284EAD" w14:paraId="1FB52CC3" w14:textId="77777777" w:rsidTr="00380301">
        <w:tc>
          <w:tcPr>
            <w:tcW w:w="704" w:type="dxa"/>
            <w:vAlign w:val="center"/>
          </w:tcPr>
          <w:p w14:paraId="42611AF8" w14:textId="623208AC" w:rsidR="00284EAD" w:rsidRDefault="00284EAD" w:rsidP="00284EAD">
            <w:pPr>
              <w:contextualSpacing/>
              <w:jc w:val="center"/>
            </w:pPr>
            <w:r>
              <w:t>14</w:t>
            </w:r>
          </w:p>
        </w:tc>
        <w:tc>
          <w:tcPr>
            <w:tcW w:w="2920" w:type="dxa"/>
            <w:vAlign w:val="center"/>
          </w:tcPr>
          <w:p w14:paraId="22546719" w14:textId="76480C57" w:rsidR="00284EAD" w:rsidRDefault="00284EAD" w:rsidP="00284EAD">
            <w:pPr>
              <w:contextualSpacing/>
            </w:pPr>
            <w:r>
              <w:t>Szreniawa, ul. Mostowa 4/2</w:t>
            </w:r>
          </w:p>
        </w:tc>
        <w:tc>
          <w:tcPr>
            <w:tcW w:w="1812" w:type="dxa"/>
            <w:vAlign w:val="center"/>
          </w:tcPr>
          <w:p w14:paraId="1B03FD1B" w14:textId="5B85FE9F" w:rsidR="00284EAD" w:rsidRDefault="00284EAD" w:rsidP="00284EAD">
            <w:pPr>
              <w:contextualSpacing/>
              <w:jc w:val="center"/>
            </w:pPr>
            <w:r>
              <w:t>1</w:t>
            </w:r>
          </w:p>
        </w:tc>
        <w:tc>
          <w:tcPr>
            <w:tcW w:w="1813" w:type="dxa"/>
            <w:vAlign w:val="center"/>
          </w:tcPr>
          <w:p w14:paraId="0311B22E" w14:textId="42277B29" w:rsidR="00284EAD" w:rsidRDefault="006342D0" w:rsidP="006342D0">
            <w:pPr>
              <w:contextualSpacing/>
              <w:jc w:val="center"/>
            </w:pPr>
            <w:r>
              <w:t>30,90</w:t>
            </w:r>
          </w:p>
        </w:tc>
        <w:tc>
          <w:tcPr>
            <w:tcW w:w="1813" w:type="dxa"/>
            <w:vAlign w:val="center"/>
          </w:tcPr>
          <w:p w14:paraId="58ED391F" w14:textId="50CC94D1" w:rsidR="00284EAD" w:rsidRDefault="00284EAD" w:rsidP="00284EAD">
            <w:pPr>
              <w:contextualSpacing/>
              <w:jc w:val="center"/>
            </w:pPr>
            <w:r>
              <w:t>wspólnota mieszkaniowa</w:t>
            </w:r>
          </w:p>
        </w:tc>
      </w:tr>
      <w:tr w:rsidR="00284EAD" w14:paraId="31B07EFF" w14:textId="77777777" w:rsidTr="00380301">
        <w:tc>
          <w:tcPr>
            <w:tcW w:w="704" w:type="dxa"/>
          </w:tcPr>
          <w:p w14:paraId="7D0CEBEC" w14:textId="39EE51D4" w:rsidR="00284EAD" w:rsidRDefault="00284EAD" w:rsidP="00284EAD">
            <w:pPr>
              <w:contextualSpacing/>
              <w:jc w:val="center"/>
            </w:pPr>
            <w:r>
              <w:t>15</w:t>
            </w:r>
          </w:p>
        </w:tc>
        <w:tc>
          <w:tcPr>
            <w:tcW w:w="2920" w:type="dxa"/>
          </w:tcPr>
          <w:p w14:paraId="73C3B67D" w14:textId="4CF7E3AE" w:rsidR="00284EAD" w:rsidRDefault="00284EAD" w:rsidP="00284EAD">
            <w:pPr>
              <w:contextualSpacing/>
            </w:pPr>
            <w:r>
              <w:t>Wiry, ul. Szreniawska 6</w:t>
            </w:r>
          </w:p>
        </w:tc>
        <w:tc>
          <w:tcPr>
            <w:tcW w:w="1812" w:type="dxa"/>
          </w:tcPr>
          <w:p w14:paraId="363CE00F" w14:textId="3E860DD4" w:rsidR="00284EAD" w:rsidRDefault="00284EAD" w:rsidP="00284EAD">
            <w:pPr>
              <w:contextualSpacing/>
              <w:jc w:val="center"/>
            </w:pPr>
            <w:r>
              <w:t>1</w:t>
            </w:r>
          </w:p>
        </w:tc>
        <w:tc>
          <w:tcPr>
            <w:tcW w:w="1813" w:type="dxa"/>
          </w:tcPr>
          <w:p w14:paraId="586C62A9" w14:textId="782396C4" w:rsidR="00284EAD" w:rsidRDefault="006342D0" w:rsidP="006342D0">
            <w:pPr>
              <w:contextualSpacing/>
              <w:jc w:val="center"/>
            </w:pPr>
            <w:r>
              <w:t>67,97</w:t>
            </w:r>
          </w:p>
        </w:tc>
        <w:tc>
          <w:tcPr>
            <w:tcW w:w="1813" w:type="dxa"/>
          </w:tcPr>
          <w:p w14:paraId="5111C49C" w14:textId="3BE5F6B5" w:rsidR="00284EAD" w:rsidRDefault="00284EAD" w:rsidP="00284EAD">
            <w:pPr>
              <w:contextualSpacing/>
              <w:jc w:val="center"/>
            </w:pPr>
            <w:r>
              <w:t>własność</w:t>
            </w:r>
          </w:p>
        </w:tc>
      </w:tr>
      <w:tr w:rsidR="00284EAD" w14:paraId="4E71714F" w14:textId="77777777" w:rsidTr="00380301">
        <w:tc>
          <w:tcPr>
            <w:tcW w:w="704" w:type="dxa"/>
          </w:tcPr>
          <w:p w14:paraId="35CC88F9" w14:textId="42DDB2A2" w:rsidR="00284EAD" w:rsidRDefault="00284EAD" w:rsidP="00284EAD">
            <w:pPr>
              <w:contextualSpacing/>
              <w:jc w:val="center"/>
            </w:pPr>
            <w:r>
              <w:t>16</w:t>
            </w:r>
          </w:p>
        </w:tc>
        <w:tc>
          <w:tcPr>
            <w:tcW w:w="2920" w:type="dxa"/>
          </w:tcPr>
          <w:p w14:paraId="02AF8BDB" w14:textId="0086047B" w:rsidR="00284EAD" w:rsidRDefault="00284EAD" w:rsidP="00284EAD">
            <w:pPr>
              <w:contextualSpacing/>
            </w:pPr>
            <w:r>
              <w:t>Wiry, ul. Podleśna 1</w:t>
            </w:r>
          </w:p>
        </w:tc>
        <w:tc>
          <w:tcPr>
            <w:tcW w:w="1812" w:type="dxa"/>
          </w:tcPr>
          <w:p w14:paraId="23950A68" w14:textId="37CD4AD1" w:rsidR="00284EAD" w:rsidRDefault="00284EAD" w:rsidP="00284EAD">
            <w:pPr>
              <w:contextualSpacing/>
              <w:jc w:val="center"/>
            </w:pPr>
            <w:r>
              <w:t>1</w:t>
            </w:r>
          </w:p>
        </w:tc>
        <w:tc>
          <w:tcPr>
            <w:tcW w:w="1813" w:type="dxa"/>
          </w:tcPr>
          <w:p w14:paraId="27BCF3F4" w14:textId="577231A4" w:rsidR="00284EAD" w:rsidRDefault="006342D0" w:rsidP="006342D0">
            <w:pPr>
              <w:contextualSpacing/>
              <w:jc w:val="center"/>
            </w:pPr>
            <w:r>
              <w:t>58,56</w:t>
            </w:r>
          </w:p>
        </w:tc>
        <w:tc>
          <w:tcPr>
            <w:tcW w:w="1813" w:type="dxa"/>
          </w:tcPr>
          <w:p w14:paraId="16E79CA7" w14:textId="0C87E33C" w:rsidR="00284EAD" w:rsidRDefault="006342D0" w:rsidP="00284EAD">
            <w:pPr>
              <w:contextualSpacing/>
              <w:jc w:val="center"/>
            </w:pPr>
            <w:r>
              <w:t>w</w:t>
            </w:r>
            <w:r w:rsidR="00284EAD">
              <w:t>łasność</w:t>
            </w:r>
          </w:p>
        </w:tc>
      </w:tr>
      <w:tr w:rsidR="00380301" w14:paraId="763DA80B" w14:textId="77777777" w:rsidTr="007B3705">
        <w:tc>
          <w:tcPr>
            <w:tcW w:w="3624" w:type="dxa"/>
            <w:gridSpan w:val="2"/>
          </w:tcPr>
          <w:p w14:paraId="5F0FEE13" w14:textId="381C823F" w:rsidR="00380301" w:rsidRPr="00F45C4D" w:rsidRDefault="00380301" w:rsidP="00380301">
            <w:pPr>
              <w:contextualSpacing/>
              <w:jc w:val="center"/>
              <w:rPr>
                <w:b/>
                <w:bCs/>
              </w:rPr>
            </w:pPr>
            <w:r w:rsidRPr="00F45C4D">
              <w:rPr>
                <w:b/>
                <w:bCs/>
              </w:rPr>
              <w:t>SUMA</w:t>
            </w:r>
          </w:p>
        </w:tc>
        <w:tc>
          <w:tcPr>
            <w:tcW w:w="1812" w:type="dxa"/>
          </w:tcPr>
          <w:p w14:paraId="012D2AB2" w14:textId="57B0FB3A" w:rsidR="00380301" w:rsidRPr="00F45C4D" w:rsidRDefault="00380301" w:rsidP="00284EAD">
            <w:pPr>
              <w:contextualSpacing/>
              <w:jc w:val="center"/>
              <w:rPr>
                <w:b/>
                <w:bCs/>
              </w:rPr>
            </w:pPr>
            <w:r w:rsidRPr="00F45C4D">
              <w:rPr>
                <w:b/>
                <w:bCs/>
              </w:rPr>
              <w:t>79</w:t>
            </w:r>
          </w:p>
        </w:tc>
        <w:tc>
          <w:tcPr>
            <w:tcW w:w="1813" w:type="dxa"/>
          </w:tcPr>
          <w:p w14:paraId="3CCB8F55" w14:textId="0682FF8C" w:rsidR="00380301" w:rsidRPr="00F45C4D" w:rsidRDefault="009F12E6" w:rsidP="006342D0">
            <w:pPr>
              <w:contextualSpacing/>
              <w:jc w:val="center"/>
              <w:rPr>
                <w:b/>
                <w:bCs/>
              </w:rPr>
            </w:pPr>
            <w:r w:rsidRPr="00F45C4D">
              <w:rPr>
                <w:b/>
                <w:bCs/>
              </w:rPr>
              <w:t>3</w:t>
            </w:r>
            <w:r w:rsidR="006F179F">
              <w:rPr>
                <w:b/>
                <w:bCs/>
              </w:rPr>
              <w:t> 761,71</w:t>
            </w:r>
          </w:p>
        </w:tc>
        <w:tc>
          <w:tcPr>
            <w:tcW w:w="1813" w:type="dxa"/>
          </w:tcPr>
          <w:p w14:paraId="68469136" w14:textId="77777777" w:rsidR="00380301" w:rsidRDefault="00380301" w:rsidP="00284EAD">
            <w:pPr>
              <w:contextualSpacing/>
              <w:jc w:val="center"/>
            </w:pPr>
          </w:p>
        </w:tc>
      </w:tr>
    </w:tbl>
    <w:p w14:paraId="7CA4AFD0" w14:textId="77777777" w:rsidR="00E142E9" w:rsidRPr="00B17AFD" w:rsidRDefault="00E142E9" w:rsidP="00B17AFD">
      <w:pPr>
        <w:contextualSpacing/>
      </w:pPr>
    </w:p>
    <w:p w14:paraId="49FD2209" w14:textId="01BD26C0" w:rsidR="005267A5" w:rsidRDefault="00D05F4A" w:rsidP="00D05F4A">
      <w:pPr>
        <w:contextualSpacing/>
      </w:pPr>
      <w:r w:rsidRPr="00F45C4D">
        <w:t>2.</w:t>
      </w:r>
      <w:r>
        <w:t xml:space="preserve"> </w:t>
      </w:r>
      <w:r w:rsidR="00D612AF">
        <w:t>Budynki mieszkalne stanowiące własność Gminy Komorniki są zróżnicowane pod względem wieku – 10 spośród wszystkich budynków powstał</w:t>
      </w:r>
      <w:r w:rsidR="009F12E6">
        <w:t>o</w:t>
      </w:r>
      <w:r w:rsidR="00D612AF">
        <w:t xml:space="preserve"> w latach między 1910 r. a 1980 r. , z czego jeden z nich został rozbudowany w 2012 r. Po roku 2000 powstały </w:t>
      </w:r>
      <w:r w:rsidR="005267A5">
        <w:t>3</w:t>
      </w:r>
      <w:r w:rsidR="00D612AF">
        <w:t xml:space="preserve"> budynk</w:t>
      </w:r>
      <w:r w:rsidR="005267A5">
        <w:t>i</w:t>
      </w:r>
      <w:r w:rsidR="00D612AF">
        <w:t xml:space="preserve"> – jeden w 2006 r.</w:t>
      </w:r>
      <w:r w:rsidR="00043E80">
        <w:t xml:space="preserve"> tj. budynek 8-lokalowy położony w Plewiskach przy ul. Szkolnej 157;</w:t>
      </w:r>
      <w:r w:rsidR="00D612AF">
        <w:t xml:space="preserve"> budynek kontenerowy</w:t>
      </w:r>
      <w:r w:rsidR="00043E80">
        <w:t xml:space="preserve"> położony w Plewiskach przy ul. Szkolnej 151</w:t>
      </w:r>
      <w:r w:rsidR="00D612AF">
        <w:t xml:space="preserve"> został postawiony w 2012 r.</w:t>
      </w:r>
      <w:r w:rsidR="005267A5">
        <w:t>, natomiast</w:t>
      </w:r>
      <w:r w:rsidR="00D612AF">
        <w:t xml:space="preserve"> </w:t>
      </w:r>
      <w:r w:rsidR="005267A5">
        <w:t>n</w:t>
      </w:r>
      <w:r w:rsidR="00D612AF">
        <w:t>ajmłodszy b</w:t>
      </w:r>
      <w:r w:rsidR="005267A5">
        <w:t>u</w:t>
      </w:r>
      <w:r w:rsidR="00D612AF">
        <w:t>dy</w:t>
      </w:r>
      <w:r w:rsidR="00B46812">
        <w:t>n</w:t>
      </w:r>
      <w:r w:rsidR="00D612AF">
        <w:t>ek w zasobie mieszkaniowym Gminy Komorniki</w:t>
      </w:r>
      <w:r w:rsidR="00043E80">
        <w:t>, położony w Plewiskach przy ul. Szkolnej 155A</w:t>
      </w:r>
      <w:r w:rsidR="00D612AF">
        <w:t xml:space="preserve"> został wybudowany w 2018 r.  </w:t>
      </w:r>
      <w:r w:rsidR="00B46812">
        <w:t>Wszystkie lokale wchodzące w skład mieszkaniowego zasobu Gminy Komorniki są wyposażone w instalację elektryczną</w:t>
      </w:r>
      <w:r w:rsidR="00AD5357">
        <w:t xml:space="preserve"> oraz</w:t>
      </w:r>
      <w:r w:rsidR="00B46812">
        <w:t xml:space="preserve"> wodno-kanalizacyjną. </w:t>
      </w:r>
      <w:r w:rsidR="00AD5357">
        <w:t>Trzydzieści lokali</w:t>
      </w:r>
      <w:r w:rsidR="005267A5">
        <w:t xml:space="preserve"> </w:t>
      </w:r>
      <w:r w:rsidR="00AD5357">
        <w:t>jest</w:t>
      </w:r>
      <w:r w:rsidR="005267A5">
        <w:t xml:space="preserve"> wyposażon</w:t>
      </w:r>
      <w:r w:rsidR="00AD5357">
        <w:t>ych</w:t>
      </w:r>
      <w:r w:rsidR="005267A5">
        <w:t xml:space="preserve"> w indywidualne piece gazowe, </w:t>
      </w:r>
      <w:r w:rsidR="00AD5357">
        <w:t>trzydzieści lokali</w:t>
      </w:r>
      <w:r w:rsidR="005267A5">
        <w:t xml:space="preserve"> jest</w:t>
      </w:r>
      <w:r w:rsidR="00AD5357">
        <w:t xml:space="preserve"> objętych</w:t>
      </w:r>
      <w:r w:rsidR="005267A5">
        <w:t xml:space="preserve"> zbiorow</w:t>
      </w:r>
      <w:r w:rsidR="00AD5357">
        <w:t>ą</w:t>
      </w:r>
      <w:r w:rsidR="005267A5">
        <w:t xml:space="preserve"> instalacj</w:t>
      </w:r>
      <w:r w:rsidR="00AD5357">
        <w:t>ą</w:t>
      </w:r>
      <w:r w:rsidR="005267A5">
        <w:t xml:space="preserve"> co (wspóln</w:t>
      </w:r>
      <w:r w:rsidR="00AD5357">
        <w:t>e</w:t>
      </w:r>
      <w:r w:rsidR="005267A5">
        <w:t xml:space="preserve"> kotłowni</w:t>
      </w:r>
      <w:r w:rsidR="00AD5357">
        <w:t>e</w:t>
      </w:r>
      <w:r w:rsidR="005267A5">
        <w:t xml:space="preserve"> gazow</w:t>
      </w:r>
      <w:r w:rsidR="00AD5357">
        <w:t>e</w:t>
      </w:r>
      <w:r w:rsidR="005267A5">
        <w:t>),</w:t>
      </w:r>
      <w:r w:rsidR="00AD5357">
        <w:t xml:space="preserve"> </w:t>
      </w:r>
      <w:r w:rsidR="0094000A">
        <w:t>pięć</w:t>
      </w:r>
      <w:r w:rsidR="005267A5">
        <w:t xml:space="preserve"> </w:t>
      </w:r>
      <w:r w:rsidR="00AD5357">
        <w:t>lokali</w:t>
      </w:r>
      <w:r w:rsidR="005267A5">
        <w:t xml:space="preserve"> jest ogrzewany</w:t>
      </w:r>
      <w:r w:rsidR="00AD5357">
        <w:t>ch</w:t>
      </w:r>
      <w:r w:rsidR="005267A5">
        <w:t xml:space="preserve"> elektrycznie, natomiast </w:t>
      </w:r>
      <w:r w:rsidR="0094000A">
        <w:t>czternaście</w:t>
      </w:r>
      <w:r w:rsidR="005267A5">
        <w:t xml:space="preserve"> </w:t>
      </w:r>
      <w:r w:rsidR="00AD5357">
        <w:t>lokali jest</w:t>
      </w:r>
      <w:r w:rsidR="005267A5">
        <w:t xml:space="preserve"> wyposażonych w piec</w:t>
      </w:r>
      <w:r w:rsidR="00AD5357">
        <w:t>e</w:t>
      </w:r>
      <w:r w:rsidR="005267A5">
        <w:t xml:space="preserve"> na paliwo stałe.</w:t>
      </w:r>
    </w:p>
    <w:p w14:paraId="3D6534AC" w14:textId="06C18AF9" w:rsidR="00D05F4A" w:rsidRDefault="005267A5" w:rsidP="00D05F4A">
      <w:pPr>
        <w:contextualSpacing/>
      </w:pPr>
      <w:r>
        <w:t xml:space="preserve"> </w:t>
      </w:r>
    </w:p>
    <w:p w14:paraId="2F8829F5" w14:textId="68CC34BD" w:rsidR="005267A5" w:rsidRDefault="005267A5" w:rsidP="005267A5">
      <w:pPr>
        <w:contextualSpacing/>
      </w:pPr>
      <w:r w:rsidRPr="00F45C4D">
        <w:t>3.</w:t>
      </w:r>
      <w:r>
        <w:t xml:space="preserve"> Prognoza dotycząca ilości lokali mieszkalnych wchodzących w skład mieszkaniowego zasobu Gminy Komorniki w latach </w:t>
      </w:r>
      <w:r w:rsidR="009B6A6A">
        <w:t>2025 – 20</w:t>
      </w:r>
      <w:r w:rsidR="00A44F7E">
        <w:t>29</w:t>
      </w:r>
      <w:r w:rsidR="009B6A6A">
        <w:t>.</w:t>
      </w:r>
    </w:p>
    <w:p w14:paraId="22F1CD1C" w14:textId="77777777" w:rsidR="009B6A6A" w:rsidRDefault="009B6A6A" w:rsidP="005267A5">
      <w:pPr>
        <w:contextualSpacing/>
      </w:pPr>
    </w:p>
    <w:tbl>
      <w:tblPr>
        <w:tblStyle w:val="Tabela-Siatka"/>
        <w:tblW w:w="0" w:type="auto"/>
        <w:tblLook w:val="04A0" w:firstRow="1" w:lastRow="0" w:firstColumn="1" w:lastColumn="0" w:noHBand="0" w:noVBand="1"/>
      </w:tblPr>
      <w:tblGrid>
        <w:gridCol w:w="1392"/>
        <w:gridCol w:w="1534"/>
        <w:gridCol w:w="1534"/>
        <w:gridCol w:w="1534"/>
        <w:gridCol w:w="1534"/>
        <w:gridCol w:w="1534"/>
      </w:tblGrid>
      <w:tr w:rsidR="009B6A6A" w14:paraId="29E47AAE" w14:textId="77777777" w:rsidTr="003F5FC6">
        <w:tc>
          <w:tcPr>
            <w:tcW w:w="1392" w:type="dxa"/>
            <w:vMerge w:val="restart"/>
          </w:tcPr>
          <w:p w14:paraId="016022E0" w14:textId="77777777" w:rsidR="009B6A6A" w:rsidRDefault="009B6A6A" w:rsidP="005267A5">
            <w:pPr>
              <w:contextualSpacing/>
            </w:pPr>
          </w:p>
        </w:tc>
        <w:tc>
          <w:tcPr>
            <w:tcW w:w="7670" w:type="dxa"/>
            <w:gridSpan w:val="5"/>
          </w:tcPr>
          <w:p w14:paraId="384AD545" w14:textId="3C7A3C53" w:rsidR="009B6A6A" w:rsidRDefault="009B6A6A" w:rsidP="009B6A6A">
            <w:pPr>
              <w:contextualSpacing/>
              <w:jc w:val="center"/>
            </w:pPr>
            <w:r>
              <w:t>Lata</w:t>
            </w:r>
          </w:p>
        </w:tc>
      </w:tr>
      <w:tr w:rsidR="0000459C" w14:paraId="73100200" w14:textId="77777777" w:rsidTr="009B6BF1">
        <w:tc>
          <w:tcPr>
            <w:tcW w:w="1392" w:type="dxa"/>
            <w:vMerge/>
          </w:tcPr>
          <w:p w14:paraId="3D432B0B" w14:textId="77777777" w:rsidR="0000459C" w:rsidRDefault="0000459C" w:rsidP="009B6A6A">
            <w:pPr>
              <w:contextualSpacing/>
            </w:pPr>
          </w:p>
        </w:tc>
        <w:tc>
          <w:tcPr>
            <w:tcW w:w="1534" w:type="dxa"/>
          </w:tcPr>
          <w:p w14:paraId="5522819C" w14:textId="4A37FE6A" w:rsidR="0000459C" w:rsidRDefault="0000459C" w:rsidP="0000459C">
            <w:pPr>
              <w:contextualSpacing/>
              <w:jc w:val="center"/>
            </w:pPr>
            <w:r>
              <w:t>2025</w:t>
            </w:r>
          </w:p>
        </w:tc>
        <w:tc>
          <w:tcPr>
            <w:tcW w:w="1534" w:type="dxa"/>
          </w:tcPr>
          <w:p w14:paraId="27D3103F" w14:textId="775F3CBD" w:rsidR="0000459C" w:rsidRDefault="0000459C" w:rsidP="0000459C">
            <w:pPr>
              <w:contextualSpacing/>
              <w:jc w:val="center"/>
            </w:pPr>
            <w:r>
              <w:t>2026</w:t>
            </w:r>
          </w:p>
        </w:tc>
        <w:tc>
          <w:tcPr>
            <w:tcW w:w="1534" w:type="dxa"/>
          </w:tcPr>
          <w:p w14:paraId="6722FACE" w14:textId="1C52C78F" w:rsidR="0000459C" w:rsidRDefault="0000459C" w:rsidP="0000459C">
            <w:pPr>
              <w:contextualSpacing/>
              <w:jc w:val="center"/>
            </w:pPr>
            <w:r>
              <w:t>2027</w:t>
            </w:r>
          </w:p>
        </w:tc>
        <w:tc>
          <w:tcPr>
            <w:tcW w:w="1534" w:type="dxa"/>
          </w:tcPr>
          <w:p w14:paraId="43FC9A56" w14:textId="33AB8438" w:rsidR="0000459C" w:rsidRDefault="0000459C" w:rsidP="0000459C">
            <w:pPr>
              <w:contextualSpacing/>
              <w:jc w:val="center"/>
            </w:pPr>
            <w:r>
              <w:t>2028</w:t>
            </w:r>
          </w:p>
        </w:tc>
        <w:tc>
          <w:tcPr>
            <w:tcW w:w="1534" w:type="dxa"/>
          </w:tcPr>
          <w:p w14:paraId="09BB5747" w14:textId="20C3E734" w:rsidR="0000459C" w:rsidRDefault="0000459C" w:rsidP="0000459C">
            <w:pPr>
              <w:contextualSpacing/>
              <w:jc w:val="center"/>
            </w:pPr>
            <w:r>
              <w:t>2029</w:t>
            </w:r>
          </w:p>
        </w:tc>
      </w:tr>
      <w:tr w:rsidR="0000459C" w14:paraId="50ADDB5D" w14:textId="77777777" w:rsidTr="00BC0E11">
        <w:tc>
          <w:tcPr>
            <w:tcW w:w="1392" w:type="dxa"/>
          </w:tcPr>
          <w:p w14:paraId="4829B794" w14:textId="161DEC61" w:rsidR="0000459C" w:rsidRDefault="0000459C" w:rsidP="009B6A6A">
            <w:pPr>
              <w:contextualSpacing/>
            </w:pPr>
            <w:r>
              <w:t>Liczba lokali mieszkalnych (szt.)</w:t>
            </w:r>
          </w:p>
        </w:tc>
        <w:tc>
          <w:tcPr>
            <w:tcW w:w="1534" w:type="dxa"/>
            <w:vAlign w:val="center"/>
          </w:tcPr>
          <w:p w14:paraId="2FBF1D87" w14:textId="31B2E047" w:rsidR="0000459C" w:rsidRPr="0000459C" w:rsidRDefault="0000459C" w:rsidP="009B6A6A">
            <w:pPr>
              <w:contextualSpacing/>
              <w:jc w:val="center"/>
            </w:pPr>
            <w:r w:rsidRPr="0000459C">
              <w:t>89</w:t>
            </w:r>
          </w:p>
        </w:tc>
        <w:tc>
          <w:tcPr>
            <w:tcW w:w="1534" w:type="dxa"/>
            <w:vAlign w:val="center"/>
          </w:tcPr>
          <w:p w14:paraId="51DC8EF8" w14:textId="21921E1B" w:rsidR="0000459C" w:rsidRPr="0000459C" w:rsidRDefault="0000459C" w:rsidP="009B6A6A">
            <w:pPr>
              <w:contextualSpacing/>
              <w:jc w:val="center"/>
            </w:pPr>
            <w:r w:rsidRPr="0000459C">
              <w:t>89</w:t>
            </w:r>
          </w:p>
        </w:tc>
        <w:tc>
          <w:tcPr>
            <w:tcW w:w="1534" w:type="dxa"/>
            <w:vAlign w:val="center"/>
          </w:tcPr>
          <w:p w14:paraId="1565B283" w14:textId="0E96E2F5" w:rsidR="0000459C" w:rsidRPr="0000459C" w:rsidRDefault="0000459C" w:rsidP="009B6A6A">
            <w:pPr>
              <w:contextualSpacing/>
              <w:jc w:val="center"/>
            </w:pPr>
            <w:r w:rsidRPr="0000459C">
              <w:t>99</w:t>
            </w:r>
          </w:p>
        </w:tc>
        <w:tc>
          <w:tcPr>
            <w:tcW w:w="1534" w:type="dxa"/>
            <w:vAlign w:val="center"/>
          </w:tcPr>
          <w:p w14:paraId="797E0D13" w14:textId="48AD3987" w:rsidR="0000459C" w:rsidRPr="0000459C" w:rsidRDefault="0000459C" w:rsidP="009B6A6A">
            <w:pPr>
              <w:contextualSpacing/>
              <w:jc w:val="center"/>
            </w:pPr>
            <w:r w:rsidRPr="0000459C">
              <w:t>99</w:t>
            </w:r>
          </w:p>
        </w:tc>
        <w:tc>
          <w:tcPr>
            <w:tcW w:w="1534" w:type="dxa"/>
            <w:vAlign w:val="center"/>
          </w:tcPr>
          <w:p w14:paraId="785E31EA" w14:textId="5AE561E4" w:rsidR="0000459C" w:rsidRPr="0000459C" w:rsidRDefault="0000459C" w:rsidP="009B6A6A">
            <w:pPr>
              <w:contextualSpacing/>
              <w:jc w:val="center"/>
            </w:pPr>
            <w:r w:rsidRPr="0000459C">
              <w:t>99</w:t>
            </w:r>
          </w:p>
        </w:tc>
      </w:tr>
    </w:tbl>
    <w:p w14:paraId="6EE10540" w14:textId="77777777" w:rsidR="009B6A6A" w:rsidRDefault="009B6A6A" w:rsidP="005267A5">
      <w:pPr>
        <w:contextualSpacing/>
      </w:pPr>
    </w:p>
    <w:p w14:paraId="1EBD4294" w14:textId="35CFE064" w:rsidR="00AD5357" w:rsidRPr="00536E10" w:rsidRDefault="00AD5357" w:rsidP="00AD5357">
      <w:pPr>
        <w:contextualSpacing/>
        <w:jc w:val="center"/>
        <w:rPr>
          <w:b/>
          <w:bCs/>
        </w:rPr>
      </w:pPr>
      <w:r w:rsidRPr="00536E10">
        <w:rPr>
          <w:b/>
          <w:bCs/>
        </w:rPr>
        <w:t xml:space="preserve">Rozdział </w:t>
      </w:r>
      <w:r>
        <w:rPr>
          <w:b/>
          <w:bCs/>
        </w:rPr>
        <w:t>4</w:t>
      </w:r>
    </w:p>
    <w:p w14:paraId="5DAFEBCD" w14:textId="5050F4BD" w:rsidR="00AD5357" w:rsidRDefault="00AD5357" w:rsidP="00AD5357">
      <w:pPr>
        <w:contextualSpacing/>
        <w:jc w:val="center"/>
        <w:rPr>
          <w:b/>
          <w:bCs/>
        </w:rPr>
      </w:pPr>
      <w:r>
        <w:rPr>
          <w:b/>
          <w:bCs/>
        </w:rPr>
        <w:t>Analiza potrzeb oraz plan remontów i modernizacji wynikający ze stanu technicznego budynków i lokali z podziałem na lata 2025 - 2029</w:t>
      </w:r>
    </w:p>
    <w:p w14:paraId="0418ECFF" w14:textId="77777777" w:rsidR="004841DF" w:rsidRDefault="004841DF" w:rsidP="00AD5357">
      <w:pPr>
        <w:contextualSpacing/>
      </w:pPr>
    </w:p>
    <w:p w14:paraId="33226A99" w14:textId="52139488" w:rsidR="004841DF" w:rsidRDefault="00B4074C" w:rsidP="00AD5357">
      <w:pPr>
        <w:contextualSpacing/>
      </w:pPr>
      <w:r>
        <w:rPr>
          <w:b/>
          <w:bCs/>
        </w:rPr>
        <w:t xml:space="preserve">§ 5. </w:t>
      </w:r>
      <w:r w:rsidRPr="00F45C4D">
        <w:t>1</w:t>
      </w:r>
      <w:r w:rsidR="004841DF" w:rsidRPr="00F45C4D">
        <w:t>.</w:t>
      </w:r>
      <w:r w:rsidR="004841DF">
        <w:t xml:space="preserve"> Zasady oceny stanu technicznego budynków i lokali mieszkalnych, przyjęte do oceny stanu technicznego podczas realizowanych w 2024 r. </w:t>
      </w:r>
      <w:r w:rsidR="00821F75">
        <w:t xml:space="preserve">okresowych </w:t>
      </w:r>
      <w:r w:rsidR="004841DF">
        <w:t>przeglądów budowlanych</w:t>
      </w:r>
      <w:r w:rsidR="00D53761">
        <w:t>, opartych na wzorach opracowanych przez W</w:t>
      </w:r>
      <w:r w:rsidR="009F12E6">
        <w:t>A</w:t>
      </w:r>
      <w:r w:rsidR="00D53761">
        <w:t>CETOB-PZITB Warszawa 1994 r.</w:t>
      </w:r>
      <w:r w:rsidR="004841DF">
        <w:t>:</w:t>
      </w:r>
    </w:p>
    <w:p w14:paraId="3549142C" w14:textId="77777777" w:rsidR="00B4074C" w:rsidRDefault="00B4074C" w:rsidP="00AD5357">
      <w:pPr>
        <w:contextualSpacing/>
      </w:pPr>
    </w:p>
    <w:p w14:paraId="26809F96" w14:textId="51D3F2BC" w:rsidR="00AD5357" w:rsidRDefault="000F6440" w:rsidP="000F6440">
      <w:pPr>
        <w:jc w:val="both"/>
      </w:pPr>
      <w:r>
        <w:t xml:space="preserve">1) </w:t>
      </w:r>
      <w:r w:rsidR="00997F49">
        <w:t>p</w:t>
      </w:r>
      <w:r w:rsidR="004841DF">
        <w:t>rzyjęte zasady oceny kontrol</w:t>
      </w:r>
      <w:r w:rsidR="009F12E6">
        <w:t>i</w:t>
      </w:r>
      <w:r w:rsidR="004841DF">
        <w:t xml:space="preserve"> stanu zużycie elementów konstrukcyjnych obiektu:</w:t>
      </w:r>
    </w:p>
    <w:p w14:paraId="65F0B47F" w14:textId="15C4B9C0" w:rsidR="004841DF" w:rsidRPr="004841DF" w:rsidRDefault="004841DF" w:rsidP="00D53761">
      <w:pPr>
        <w:pStyle w:val="Akapitzlist"/>
        <w:numPr>
          <w:ilvl w:val="0"/>
          <w:numId w:val="6"/>
        </w:numPr>
        <w:spacing w:after="0"/>
        <w:jc w:val="both"/>
        <w:rPr>
          <w:rFonts w:cstheme="minorHAnsi"/>
        </w:rPr>
      </w:pPr>
      <w:r w:rsidRPr="004841DF">
        <w:rPr>
          <w:rFonts w:cstheme="minorHAnsi"/>
        </w:rPr>
        <w:t>dobry – zużycie 0 – 15%,</w:t>
      </w:r>
    </w:p>
    <w:p w14:paraId="5E495EB3" w14:textId="77777777" w:rsidR="004841DF" w:rsidRPr="004841DF" w:rsidRDefault="004841DF" w:rsidP="004841DF">
      <w:pPr>
        <w:pStyle w:val="Akapitzlist"/>
        <w:numPr>
          <w:ilvl w:val="0"/>
          <w:numId w:val="6"/>
        </w:numPr>
        <w:spacing w:after="0"/>
        <w:jc w:val="both"/>
        <w:rPr>
          <w:rFonts w:cstheme="minorHAnsi"/>
        </w:rPr>
      </w:pPr>
      <w:r w:rsidRPr="004841DF">
        <w:rPr>
          <w:rFonts w:cstheme="minorHAnsi"/>
        </w:rPr>
        <w:t>zadowalający - zużycie 16 – 25%,</w:t>
      </w:r>
    </w:p>
    <w:p w14:paraId="3FC2EED1" w14:textId="77777777" w:rsidR="004841DF" w:rsidRPr="004841DF" w:rsidRDefault="004841DF" w:rsidP="004841DF">
      <w:pPr>
        <w:pStyle w:val="Akapitzlist"/>
        <w:numPr>
          <w:ilvl w:val="0"/>
          <w:numId w:val="6"/>
        </w:numPr>
        <w:spacing w:after="0"/>
        <w:jc w:val="both"/>
        <w:rPr>
          <w:rFonts w:cstheme="minorHAnsi"/>
        </w:rPr>
      </w:pPr>
      <w:r w:rsidRPr="004841DF">
        <w:rPr>
          <w:rFonts w:cstheme="minorHAnsi"/>
        </w:rPr>
        <w:t>średni - zużycie 26 – 40%,</w:t>
      </w:r>
    </w:p>
    <w:p w14:paraId="34509015" w14:textId="77777777" w:rsidR="004841DF" w:rsidRPr="004841DF" w:rsidRDefault="004841DF" w:rsidP="004841DF">
      <w:pPr>
        <w:pStyle w:val="Akapitzlist"/>
        <w:numPr>
          <w:ilvl w:val="0"/>
          <w:numId w:val="6"/>
        </w:numPr>
        <w:spacing w:after="0"/>
        <w:jc w:val="both"/>
        <w:rPr>
          <w:rFonts w:cstheme="minorHAnsi"/>
        </w:rPr>
      </w:pPr>
      <w:r w:rsidRPr="004841DF">
        <w:rPr>
          <w:rFonts w:cstheme="minorHAnsi"/>
        </w:rPr>
        <w:t>zły - zużycie 41 – 50%,</w:t>
      </w:r>
    </w:p>
    <w:p w14:paraId="11B44C66" w14:textId="77777777" w:rsidR="004841DF" w:rsidRDefault="004841DF" w:rsidP="004841DF">
      <w:pPr>
        <w:pStyle w:val="Akapitzlist"/>
        <w:numPr>
          <w:ilvl w:val="0"/>
          <w:numId w:val="6"/>
        </w:numPr>
        <w:spacing w:after="0"/>
        <w:jc w:val="both"/>
        <w:rPr>
          <w:rFonts w:cstheme="minorHAnsi"/>
        </w:rPr>
      </w:pPr>
      <w:r w:rsidRPr="004841DF">
        <w:rPr>
          <w:rFonts w:cstheme="minorHAnsi"/>
        </w:rPr>
        <w:t>awaryjny - zużycie ponad 50%.</w:t>
      </w:r>
    </w:p>
    <w:p w14:paraId="519B40C2" w14:textId="77777777" w:rsidR="00D53761" w:rsidRPr="00B4074C" w:rsidRDefault="00D53761" w:rsidP="00B4074C">
      <w:pPr>
        <w:spacing w:after="0"/>
        <w:jc w:val="both"/>
        <w:rPr>
          <w:rFonts w:cstheme="minorHAnsi"/>
        </w:rPr>
      </w:pPr>
    </w:p>
    <w:p w14:paraId="78B7D152" w14:textId="4B13F0A9" w:rsidR="00D53761" w:rsidRDefault="000F6440" w:rsidP="00D53761">
      <w:pPr>
        <w:spacing w:after="0" w:line="240" w:lineRule="auto"/>
        <w:jc w:val="both"/>
        <w:rPr>
          <w:rFonts w:cstheme="minorHAnsi"/>
        </w:rPr>
      </w:pPr>
      <w:r>
        <w:rPr>
          <w:rFonts w:cstheme="minorHAnsi"/>
        </w:rPr>
        <w:t xml:space="preserve">2) </w:t>
      </w:r>
      <w:r w:rsidR="00997F49">
        <w:rPr>
          <w:rFonts w:cstheme="minorHAnsi"/>
        </w:rPr>
        <w:t>p</w:t>
      </w:r>
      <w:r w:rsidR="00D53761" w:rsidRPr="000F6440">
        <w:rPr>
          <w:rFonts w:cstheme="minorHAnsi"/>
        </w:rPr>
        <w:t xml:space="preserve">rzyjęte zasady oceny kontroli stanu zużycia elementów wykończeniowych </w:t>
      </w:r>
      <w:r w:rsidR="00D53761" w:rsidRPr="00D53761">
        <w:rPr>
          <w:rFonts w:cstheme="minorHAnsi"/>
        </w:rPr>
        <w:t>obiektu:</w:t>
      </w:r>
    </w:p>
    <w:p w14:paraId="67EA7EDD" w14:textId="77777777" w:rsidR="000F6440" w:rsidRPr="00D53761" w:rsidRDefault="000F6440" w:rsidP="00D53761">
      <w:pPr>
        <w:spacing w:after="0" w:line="240" w:lineRule="auto"/>
        <w:jc w:val="both"/>
        <w:rPr>
          <w:rFonts w:cstheme="minorHAnsi"/>
        </w:rPr>
      </w:pPr>
    </w:p>
    <w:p w14:paraId="3EE6327F" w14:textId="77777777" w:rsidR="00D53761" w:rsidRPr="00D53761" w:rsidRDefault="00D53761" w:rsidP="00D53761">
      <w:pPr>
        <w:spacing w:after="0" w:line="240" w:lineRule="auto"/>
        <w:ind w:left="-142"/>
        <w:contextualSpacing/>
        <w:rPr>
          <w:rFonts w:cstheme="minorHAnsi"/>
        </w:rPr>
      </w:pPr>
      <w:r w:rsidRPr="00D53761">
        <w:rPr>
          <w:rFonts w:cstheme="minorHAnsi"/>
        </w:rPr>
        <w:t xml:space="preserve">            a) dobry – zużycie 0 – 15%,</w:t>
      </w:r>
    </w:p>
    <w:p w14:paraId="202C07C8" w14:textId="335222DD" w:rsidR="00D53761" w:rsidRPr="00D53761" w:rsidRDefault="00D53761" w:rsidP="00D53761">
      <w:pPr>
        <w:spacing w:after="0" w:line="240" w:lineRule="auto"/>
        <w:ind w:left="-284" w:firstLine="708"/>
        <w:contextualSpacing/>
        <w:rPr>
          <w:rFonts w:cstheme="minorHAnsi"/>
        </w:rPr>
      </w:pPr>
      <w:r>
        <w:rPr>
          <w:rFonts w:cstheme="minorHAnsi"/>
        </w:rPr>
        <w:t xml:space="preserve"> </w:t>
      </w:r>
      <w:r w:rsidRPr="00D53761">
        <w:rPr>
          <w:rFonts w:cstheme="minorHAnsi"/>
        </w:rPr>
        <w:t>b) zadowalający - zużycie 16 – 30%,</w:t>
      </w:r>
    </w:p>
    <w:p w14:paraId="54334EBC" w14:textId="54DB3D60" w:rsidR="00D53761" w:rsidRPr="00D53761" w:rsidRDefault="00D53761" w:rsidP="00D53761">
      <w:pPr>
        <w:spacing w:after="0" w:line="240" w:lineRule="auto"/>
        <w:ind w:left="-284"/>
        <w:contextualSpacing/>
        <w:rPr>
          <w:rFonts w:cstheme="minorHAnsi"/>
        </w:rPr>
      </w:pPr>
      <w:r w:rsidRPr="00D53761">
        <w:rPr>
          <w:rFonts w:cstheme="minorHAnsi"/>
        </w:rPr>
        <w:lastRenderedPageBreak/>
        <w:t xml:space="preserve">   </w:t>
      </w:r>
      <w:r w:rsidRPr="00D53761">
        <w:rPr>
          <w:rFonts w:cstheme="minorHAnsi"/>
        </w:rPr>
        <w:tab/>
      </w:r>
      <w:r>
        <w:rPr>
          <w:rFonts w:cstheme="minorHAnsi"/>
        </w:rPr>
        <w:t xml:space="preserve">          </w:t>
      </w:r>
      <w:r w:rsidRPr="00D53761">
        <w:rPr>
          <w:rFonts w:cstheme="minorHAnsi"/>
        </w:rPr>
        <w:t>c) średni - zużycie 31 – 45%,</w:t>
      </w:r>
    </w:p>
    <w:p w14:paraId="4F605C49" w14:textId="43A54CA2" w:rsidR="00D53761" w:rsidRPr="00D53761" w:rsidRDefault="00D53761" w:rsidP="00D53761">
      <w:pPr>
        <w:spacing w:after="0" w:line="240" w:lineRule="auto"/>
        <w:ind w:left="-284" w:firstLine="708"/>
        <w:contextualSpacing/>
        <w:rPr>
          <w:rFonts w:cstheme="minorHAnsi"/>
        </w:rPr>
      </w:pPr>
      <w:r>
        <w:rPr>
          <w:rFonts w:cstheme="minorHAnsi"/>
        </w:rPr>
        <w:t xml:space="preserve"> </w:t>
      </w:r>
      <w:r w:rsidRPr="00D53761">
        <w:rPr>
          <w:rFonts w:cstheme="minorHAnsi"/>
        </w:rPr>
        <w:t>d) zły - zużycie 46 – 60%,</w:t>
      </w:r>
    </w:p>
    <w:p w14:paraId="3EC13C21" w14:textId="24A0B0A4" w:rsidR="00D53761" w:rsidRDefault="00D53761" w:rsidP="00D53761">
      <w:pPr>
        <w:spacing w:after="0" w:line="240" w:lineRule="auto"/>
        <w:contextualSpacing/>
        <w:rPr>
          <w:rFonts w:cstheme="minorHAnsi"/>
        </w:rPr>
      </w:pPr>
      <w:r>
        <w:rPr>
          <w:rFonts w:cstheme="minorHAnsi"/>
        </w:rPr>
        <w:t xml:space="preserve">          </w:t>
      </w:r>
      <w:r w:rsidRPr="00D53761">
        <w:rPr>
          <w:rFonts w:cstheme="minorHAnsi"/>
        </w:rPr>
        <w:t>e) awaryjny - zużycie ponad 60%.</w:t>
      </w:r>
    </w:p>
    <w:p w14:paraId="77FD3EB7" w14:textId="77777777" w:rsidR="00D53761" w:rsidRDefault="00D53761" w:rsidP="00D53761">
      <w:pPr>
        <w:spacing w:after="0" w:line="240" w:lineRule="auto"/>
        <w:contextualSpacing/>
        <w:rPr>
          <w:rFonts w:cstheme="minorHAnsi"/>
        </w:rPr>
      </w:pPr>
    </w:p>
    <w:p w14:paraId="674637A6" w14:textId="57045F7B" w:rsidR="00D53761" w:rsidRPr="000F6440" w:rsidRDefault="00B4074C" w:rsidP="000F6440">
      <w:pPr>
        <w:spacing w:after="0" w:line="240" w:lineRule="auto"/>
        <w:rPr>
          <w:rFonts w:cstheme="minorHAnsi"/>
        </w:rPr>
      </w:pPr>
      <w:r w:rsidRPr="00F45C4D">
        <w:rPr>
          <w:rFonts w:cstheme="minorHAnsi"/>
        </w:rPr>
        <w:t>2</w:t>
      </w:r>
      <w:r w:rsidR="000F6440" w:rsidRPr="00F45C4D">
        <w:rPr>
          <w:rFonts w:cstheme="minorHAnsi"/>
        </w:rPr>
        <w:t>.</w:t>
      </w:r>
      <w:r w:rsidR="000F6440">
        <w:rPr>
          <w:rFonts w:cstheme="minorHAnsi"/>
        </w:rPr>
        <w:t xml:space="preserve"> </w:t>
      </w:r>
      <w:r w:rsidR="00D53761" w:rsidRPr="000F6440">
        <w:rPr>
          <w:rFonts w:cstheme="minorHAnsi"/>
        </w:rPr>
        <w:t xml:space="preserve">Prognozowany wykaz stanu technicznego budynków, pełniących funkcję </w:t>
      </w:r>
      <w:r w:rsidR="00323A34" w:rsidRPr="000F6440">
        <w:rPr>
          <w:rFonts w:cstheme="minorHAnsi"/>
        </w:rPr>
        <w:t xml:space="preserve">w całości </w:t>
      </w:r>
      <w:r w:rsidR="00D53761" w:rsidRPr="000F6440">
        <w:rPr>
          <w:rFonts w:cstheme="minorHAnsi"/>
        </w:rPr>
        <w:t>mieszkaniową, wchodzących w skład mieszkaniowego zasobu Gminy Komorniki</w:t>
      </w:r>
      <w:r w:rsidR="00EF4357">
        <w:rPr>
          <w:rFonts w:cstheme="minorHAnsi"/>
        </w:rPr>
        <w:t>,</w:t>
      </w:r>
      <w:r w:rsidR="00D53761" w:rsidRPr="000F6440">
        <w:rPr>
          <w:rFonts w:cstheme="minorHAnsi"/>
        </w:rPr>
        <w:t xml:space="preserve"> sklasyfikowany jako dobry, zadowalający, średni, zły i awaryjny</w:t>
      </w:r>
      <w:r w:rsidR="00323A34" w:rsidRPr="000F6440">
        <w:rPr>
          <w:rFonts w:cstheme="minorHAnsi"/>
        </w:rPr>
        <w:t xml:space="preserve">, zgodnie z zasadami wskazanymi w § 5. </w:t>
      </w:r>
      <w:r w:rsidR="004F0A87">
        <w:rPr>
          <w:rFonts w:cstheme="minorHAnsi"/>
        </w:rPr>
        <w:t>1</w:t>
      </w:r>
      <w:r w:rsidR="00323A34" w:rsidRPr="000F6440">
        <w:rPr>
          <w:rFonts w:cstheme="minorHAnsi"/>
        </w:rPr>
        <w:t xml:space="preserve">. </w:t>
      </w:r>
      <w:r w:rsidR="00D53761" w:rsidRPr="000F6440">
        <w:rPr>
          <w:rFonts w:cstheme="minorHAnsi"/>
        </w:rPr>
        <w:t xml:space="preserve"> i przedstawiony w tabeli poniżej:</w:t>
      </w:r>
    </w:p>
    <w:p w14:paraId="49468866" w14:textId="77777777" w:rsidR="000E1656" w:rsidRDefault="000E1656" w:rsidP="000E1656">
      <w:pPr>
        <w:spacing w:after="0" w:line="240" w:lineRule="auto"/>
        <w:ind w:left="66"/>
        <w:rPr>
          <w:rFonts w:cstheme="minorHAnsi"/>
        </w:rPr>
      </w:pPr>
    </w:p>
    <w:tbl>
      <w:tblPr>
        <w:tblStyle w:val="Tabela-Siatka"/>
        <w:tblW w:w="0" w:type="auto"/>
        <w:tblLook w:val="04A0" w:firstRow="1" w:lastRow="0" w:firstColumn="1" w:lastColumn="0" w:noHBand="0" w:noVBand="1"/>
      </w:tblPr>
      <w:tblGrid>
        <w:gridCol w:w="516"/>
        <w:gridCol w:w="2037"/>
        <w:gridCol w:w="1270"/>
        <w:gridCol w:w="1417"/>
        <w:gridCol w:w="1276"/>
        <w:gridCol w:w="1276"/>
        <w:gridCol w:w="1270"/>
      </w:tblGrid>
      <w:tr w:rsidR="000E1656" w:rsidRPr="000E1656" w14:paraId="26C6975C" w14:textId="77777777" w:rsidTr="00254FF8">
        <w:trPr>
          <w:trHeight w:val="503"/>
        </w:trPr>
        <w:tc>
          <w:tcPr>
            <w:tcW w:w="516" w:type="dxa"/>
            <w:vMerge w:val="restart"/>
            <w:vAlign w:val="center"/>
          </w:tcPr>
          <w:p w14:paraId="7DD489D0" w14:textId="77777777" w:rsidR="000E1656" w:rsidRPr="000E1656" w:rsidRDefault="000E1656" w:rsidP="00254FF8">
            <w:pPr>
              <w:rPr>
                <w:rFonts w:cstheme="minorHAnsi"/>
                <w:b/>
              </w:rPr>
            </w:pPr>
            <w:r w:rsidRPr="000E1656">
              <w:rPr>
                <w:rFonts w:cstheme="minorHAnsi"/>
                <w:b/>
              </w:rPr>
              <w:t>Lp.</w:t>
            </w:r>
          </w:p>
        </w:tc>
        <w:tc>
          <w:tcPr>
            <w:tcW w:w="2037" w:type="dxa"/>
            <w:vMerge w:val="restart"/>
            <w:vAlign w:val="center"/>
          </w:tcPr>
          <w:p w14:paraId="5DB7E11A" w14:textId="77777777" w:rsidR="000E1656" w:rsidRPr="000E1656" w:rsidRDefault="000E1656" w:rsidP="00254FF8">
            <w:pPr>
              <w:jc w:val="center"/>
              <w:rPr>
                <w:rFonts w:cstheme="minorHAnsi"/>
                <w:b/>
              </w:rPr>
            </w:pPr>
            <w:r w:rsidRPr="000E1656">
              <w:rPr>
                <w:rFonts w:cstheme="minorHAnsi"/>
                <w:b/>
              </w:rPr>
              <w:t>Ocena stanu technicznego budynków</w:t>
            </w:r>
          </w:p>
        </w:tc>
        <w:tc>
          <w:tcPr>
            <w:tcW w:w="6509" w:type="dxa"/>
            <w:gridSpan w:val="5"/>
            <w:vAlign w:val="center"/>
          </w:tcPr>
          <w:p w14:paraId="72439C0D" w14:textId="1DD0D9D3" w:rsidR="000E1656" w:rsidRPr="000E1656" w:rsidRDefault="000E1656" w:rsidP="00254FF8">
            <w:pPr>
              <w:jc w:val="center"/>
              <w:rPr>
                <w:rFonts w:cstheme="minorHAnsi"/>
                <w:b/>
              </w:rPr>
            </w:pPr>
            <w:r w:rsidRPr="000E1656">
              <w:rPr>
                <w:rFonts w:cstheme="minorHAnsi"/>
                <w:b/>
              </w:rPr>
              <w:t>Prognozowana liczba budynków mieszkalnych</w:t>
            </w:r>
            <w:r w:rsidR="009F12E6">
              <w:rPr>
                <w:rFonts w:cstheme="minorHAnsi"/>
                <w:b/>
              </w:rPr>
              <w:t xml:space="preserve"> (szt.)</w:t>
            </w:r>
          </w:p>
        </w:tc>
      </w:tr>
      <w:tr w:rsidR="000E1656" w:rsidRPr="000E1656" w14:paraId="53EA5FBD" w14:textId="77777777" w:rsidTr="00254FF8">
        <w:trPr>
          <w:trHeight w:val="502"/>
        </w:trPr>
        <w:tc>
          <w:tcPr>
            <w:tcW w:w="516" w:type="dxa"/>
            <w:vMerge/>
          </w:tcPr>
          <w:p w14:paraId="2BA968FC" w14:textId="77777777" w:rsidR="000E1656" w:rsidRPr="000E1656" w:rsidRDefault="000E1656" w:rsidP="00254FF8">
            <w:pPr>
              <w:rPr>
                <w:rFonts w:cstheme="minorHAnsi"/>
                <w:b/>
              </w:rPr>
            </w:pPr>
          </w:p>
        </w:tc>
        <w:tc>
          <w:tcPr>
            <w:tcW w:w="2037" w:type="dxa"/>
            <w:vMerge/>
          </w:tcPr>
          <w:p w14:paraId="1D2D46BE" w14:textId="77777777" w:rsidR="000E1656" w:rsidRPr="000E1656" w:rsidRDefault="000E1656" w:rsidP="00254FF8">
            <w:pPr>
              <w:rPr>
                <w:rFonts w:cstheme="minorHAnsi"/>
                <w:b/>
              </w:rPr>
            </w:pPr>
          </w:p>
        </w:tc>
        <w:tc>
          <w:tcPr>
            <w:tcW w:w="1270" w:type="dxa"/>
            <w:vAlign w:val="center"/>
          </w:tcPr>
          <w:p w14:paraId="6CFFAD87" w14:textId="6E66F596" w:rsidR="000E1656" w:rsidRPr="000E1656" w:rsidRDefault="000E1656" w:rsidP="00254FF8">
            <w:pPr>
              <w:jc w:val="center"/>
              <w:rPr>
                <w:rFonts w:cstheme="minorHAnsi"/>
                <w:b/>
              </w:rPr>
            </w:pPr>
            <w:r w:rsidRPr="000E1656">
              <w:rPr>
                <w:rFonts w:cstheme="minorHAnsi"/>
                <w:b/>
              </w:rPr>
              <w:t>202</w:t>
            </w:r>
            <w:r>
              <w:rPr>
                <w:rFonts w:cstheme="minorHAnsi"/>
                <w:b/>
              </w:rPr>
              <w:t>5</w:t>
            </w:r>
            <w:r w:rsidRPr="000E1656">
              <w:rPr>
                <w:rFonts w:cstheme="minorHAnsi"/>
                <w:b/>
              </w:rPr>
              <w:t xml:space="preserve"> r.</w:t>
            </w:r>
          </w:p>
        </w:tc>
        <w:tc>
          <w:tcPr>
            <w:tcW w:w="1417" w:type="dxa"/>
            <w:vAlign w:val="center"/>
          </w:tcPr>
          <w:p w14:paraId="27B11153" w14:textId="3537CBEF" w:rsidR="000E1656" w:rsidRPr="000E1656" w:rsidRDefault="000E1656" w:rsidP="00254FF8">
            <w:pPr>
              <w:jc w:val="center"/>
              <w:rPr>
                <w:rFonts w:cstheme="minorHAnsi"/>
                <w:b/>
              </w:rPr>
            </w:pPr>
            <w:r w:rsidRPr="000E1656">
              <w:rPr>
                <w:rFonts w:cstheme="minorHAnsi"/>
                <w:b/>
              </w:rPr>
              <w:t>202</w:t>
            </w:r>
            <w:r>
              <w:rPr>
                <w:rFonts w:cstheme="minorHAnsi"/>
                <w:b/>
              </w:rPr>
              <w:t>6</w:t>
            </w:r>
            <w:r w:rsidRPr="000E1656">
              <w:rPr>
                <w:rFonts w:cstheme="minorHAnsi"/>
                <w:b/>
              </w:rPr>
              <w:t xml:space="preserve"> r.</w:t>
            </w:r>
          </w:p>
        </w:tc>
        <w:tc>
          <w:tcPr>
            <w:tcW w:w="1276" w:type="dxa"/>
            <w:vAlign w:val="center"/>
          </w:tcPr>
          <w:p w14:paraId="4EF26B9A" w14:textId="21000FFD" w:rsidR="000E1656" w:rsidRPr="000E1656" w:rsidRDefault="000E1656" w:rsidP="00254FF8">
            <w:pPr>
              <w:jc w:val="center"/>
              <w:rPr>
                <w:rFonts w:cstheme="minorHAnsi"/>
                <w:b/>
              </w:rPr>
            </w:pPr>
            <w:r w:rsidRPr="000E1656">
              <w:rPr>
                <w:rFonts w:cstheme="minorHAnsi"/>
                <w:b/>
              </w:rPr>
              <w:t>202</w:t>
            </w:r>
            <w:r>
              <w:rPr>
                <w:rFonts w:cstheme="minorHAnsi"/>
                <w:b/>
              </w:rPr>
              <w:t>7</w:t>
            </w:r>
            <w:r w:rsidRPr="000E1656">
              <w:rPr>
                <w:rFonts w:cstheme="minorHAnsi"/>
                <w:b/>
              </w:rPr>
              <w:t xml:space="preserve"> r.</w:t>
            </w:r>
          </w:p>
        </w:tc>
        <w:tc>
          <w:tcPr>
            <w:tcW w:w="1276" w:type="dxa"/>
            <w:vAlign w:val="center"/>
          </w:tcPr>
          <w:p w14:paraId="4516D39A" w14:textId="2610AA73" w:rsidR="000E1656" w:rsidRPr="000E1656" w:rsidRDefault="000E1656" w:rsidP="00254FF8">
            <w:pPr>
              <w:jc w:val="center"/>
              <w:rPr>
                <w:rFonts w:cstheme="minorHAnsi"/>
                <w:b/>
              </w:rPr>
            </w:pPr>
            <w:r w:rsidRPr="000E1656">
              <w:rPr>
                <w:rFonts w:cstheme="minorHAnsi"/>
                <w:b/>
              </w:rPr>
              <w:t>202</w:t>
            </w:r>
            <w:r>
              <w:rPr>
                <w:rFonts w:cstheme="minorHAnsi"/>
                <w:b/>
              </w:rPr>
              <w:t>8</w:t>
            </w:r>
            <w:r w:rsidRPr="000E1656">
              <w:rPr>
                <w:rFonts w:cstheme="minorHAnsi"/>
                <w:b/>
              </w:rPr>
              <w:t xml:space="preserve"> r.</w:t>
            </w:r>
          </w:p>
        </w:tc>
        <w:tc>
          <w:tcPr>
            <w:tcW w:w="1270" w:type="dxa"/>
            <w:vAlign w:val="center"/>
          </w:tcPr>
          <w:p w14:paraId="17C0A0ED" w14:textId="6D35DA37" w:rsidR="000E1656" w:rsidRPr="000E1656" w:rsidRDefault="000E1656" w:rsidP="00254FF8">
            <w:pPr>
              <w:jc w:val="center"/>
              <w:rPr>
                <w:rFonts w:cstheme="minorHAnsi"/>
                <w:b/>
              </w:rPr>
            </w:pPr>
            <w:r w:rsidRPr="000E1656">
              <w:rPr>
                <w:rFonts w:cstheme="minorHAnsi"/>
                <w:b/>
              </w:rPr>
              <w:t>202</w:t>
            </w:r>
            <w:r>
              <w:rPr>
                <w:rFonts w:cstheme="minorHAnsi"/>
                <w:b/>
              </w:rPr>
              <w:t>9</w:t>
            </w:r>
            <w:r w:rsidRPr="000E1656">
              <w:rPr>
                <w:rFonts w:cstheme="minorHAnsi"/>
                <w:b/>
              </w:rPr>
              <w:t xml:space="preserve"> r.</w:t>
            </w:r>
          </w:p>
        </w:tc>
      </w:tr>
      <w:tr w:rsidR="00323A34" w:rsidRPr="000E1656" w14:paraId="0CF8B7D7" w14:textId="77777777" w:rsidTr="00254FF8">
        <w:tc>
          <w:tcPr>
            <w:tcW w:w="516" w:type="dxa"/>
          </w:tcPr>
          <w:p w14:paraId="6167C5FA" w14:textId="77777777" w:rsidR="00323A34" w:rsidRPr="000E1656" w:rsidRDefault="00323A34" w:rsidP="00323A34">
            <w:pPr>
              <w:rPr>
                <w:rFonts w:cstheme="minorHAnsi"/>
              </w:rPr>
            </w:pPr>
            <w:r w:rsidRPr="000E1656">
              <w:rPr>
                <w:rFonts w:cstheme="minorHAnsi"/>
              </w:rPr>
              <w:t>1.</w:t>
            </w:r>
          </w:p>
        </w:tc>
        <w:tc>
          <w:tcPr>
            <w:tcW w:w="2037" w:type="dxa"/>
          </w:tcPr>
          <w:p w14:paraId="6522EC5F" w14:textId="50BCCDE5" w:rsidR="00323A34" w:rsidRPr="000E1656" w:rsidRDefault="00323A34" w:rsidP="00323A34">
            <w:pPr>
              <w:rPr>
                <w:rFonts w:cstheme="minorHAnsi"/>
              </w:rPr>
            </w:pPr>
            <w:r w:rsidRPr="00323A34">
              <w:rPr>
                <w:rFonts w:cstheme="minorHAnsi"/>
              </w:rPr>
              <w:t>DOBRY</w:t>
            </w:r>
          </w:p>
        </w:tc>
        <w:tc>
          <w:tcPr>
            <w:tcW w:w="1270" w:type="dxa"/>
          </w:tcPr>
          <w:p w14:paraId="07D2EF94" w14:textId="6A1A354D" w:rsidR="00323A34" w:rsidRPr="000E1656" w:rsidRDefault="0041614F" w:rsidP="00323A34">
            <w:pPr>
              <w:jc w:val="center"/>
              <w:rPr>
                <w:rFonts w:cstheme="minorHAnsi"/>
              </w:rPr>
            </w:pPr>
            <w:r>
              <w:rPr>
                <w:rFonts w:cstheme="minorHAnsi"/>
              </w:rPr>
              <w:t>3</w:t>
            </w:r>
          </w:p>
        </w:tc>
        <w:tc>
          <w:tcPr>
            <w:tcW w:w="1417" w:type="dxa"/>
          </w:tcPr>
          <w:p w14:paraId="423DA5EE" w14:textId="0A7BAD0F" w:rsidR="00323A34" w:rsidRPr="000E1656" w:rsidRDefault="0041614F" w:rsidP="00323A34">
            <w:pPr>
              <w:jc w:val="center"/>
              <w:rPr>
                <w:rFonts w:cstheme="minorHAnsi"/>
              </w:rPr>
            </w:pPr>
            <w:r>
              <w:rPr>
                <w:rFonts w:cstheme="minorHAnsi"/>
              </w:rPr>
              <w:t>3</w:t>
            </w:r>
          </w:p>
        </w:tc>
        <w:tc>
          <w:tcPr>
            <w:tcW w:w="1276" w:type="dxa"/>
          </w:tcPr>
          <w:p w14:paraId="521378E5" w14:textId="45AAC302" w:rsidR="00323A34" w:rsidRPr="000E1656" w:rsidRDefault="0041614F" w:rsidP="00323A34">
            <w:pPr>
              <w:jc w:val="center"/>
              <w:rPr>
                <w:rFonts w:cstheme="minorHAnsi"/>
              </w:rPr>
            </w:pPr>
            <w:r>
              <w:rPr>
                <w:rFonts w:cstheme="minorHAnsi"/>
              </w:rPr>
              <w:t>4</w:t>
            </w:r>
          </w:p>
        </w:tc>
        <w:tc>
          <w:tcPr>
            <w:tcW w:w="1276" w:type="dxa"/>
          </w:tcPr>
          <w:p w14:paraId="5011D670" w14:textId="43080429" w:rsidR="00323A34" w:rsidRPr="000E1656" w:rsidRDefault="0041614F" w:rsidP="00323A34">
            <w:pPr>
              <w:jc w:val="center"/>
              <w:rPr>
                <w:rFonts w:cstheme="minorHAnsi"/>
              </w:rPr>
            </w:pPr>
            <w:r>
              <w:rPr>
                <w:rFonts w:cstheme="minorHAnsi"/>
              </w:rPr>
              <w:t>4</w:t>
            </w:r>
          </w:p>
        </w:tc>
        <w:tc>
          <w:tcPr>
            <w:tcW w:w="1270" w:type="dxa"/>
          </w:tcPr>
          <w:p w14:paraId="575C5A15" w14:textId="259469F8" w:rsidR="00323A34" w:rsidRPr="000E1656" w:rsidRDefault="0041614F" w:rsidP="00323A34">
            <w:pPr>
              <w:jc w:val="center"/>
              <w:rPr>
                <w:rFonts w:cstheme="minorHAnsi"/>
              </w:rPr>
            </w:pPr>
            <w:r>
              <w:rPr>
                <w:rFonts w:cstheme="minorHAnsi"/>
              </w:rPr>
              <w:t>4</w:t>
            </w:r>
          </w:p>
        </w:tc>
      </w:tr>
      <w:tr w:rsidR="00323A34" w:rsidRPr="000E1656" w14:paraId="4460C514" w14:textId="77777777" w:rsidTr="00254FF8">
        <w:tc>
          <w:tcPr>
            <w:tcW w:w="516" w:type="dxa"/>
          </w:tcPr>
          <w:p w14:paraId="3CB16F46" w14:textId="77777777" w:rsidR="00323A34" w:rsidRPr="000E1656" w:rsidRDefault="00323A34" w:rsidP="00323A34">
            <w:pPr>
              <w:rPr>
                <w:rFonts w:cstheme="minorHAnsi"/>
              </w:rPr>
            </w:pPr>
            <w:r w:rsidRPr="000E1656">
              <w:rPr>
                <w:rFonts w:cstheme="minorHAnsi"/>
              </w:rPr>
              <w:t>2.</w:t>
            </w:r>
          </w:p>
        </w:tc>
        <w:tc>
          <w:tcPr>
            <w:tcW w:w="2037" w:type="dxa"/>
          </w:tcPr>
          <w:p w14:paraId="7E06A4CC" w14:textId="7633B08A" w:rsidR="00323A34" w:rsidRPr="000E1656" w:rsidRDefault="00323A34" w:rsidP="00323A34">
            <w:pPr>
              <w:rPr>
                <w:rFonts w:cstheme="minorHAnsi"/>
              </w:rPr>
            </w:pPr>
            <w:r w:rsidRPr="00323A34">
              <w:rPr>
                <w:rFonts w:cstheme="minorHAnsi"/>
              </w:rPr>
              <w:t>ZADOWALAJĄCY</w:t>
            </w:r>
          </w:p>
        </w:tc>
        <w:tc>
          <w:tcPr>
            <w:tcW w:w="1270" w:type="dxa"/>
          </w:tcPr>
          <w:p w14:paraId="5FED142D" w14:textId="502D0946" w:rsidR="00323A34" w:rsidRPr="000E1656" w:rsidRDefault="0041614F" w:rsidP="00323A34">
            <w:pPr>
              <w:jc w:val="center"/>
              <w:rPr>
                <w:rFonts w:cstheme="minorHAnsi"/>
              </w:rPr>
            </w:pPr>
            <w:r>
              <w:rPr>
                <w:rFonts w:cstheme="minorHAnsi"/>
              </w:rPr>
              <w:t>6</w:t>
            </w:r>
          </w:p>
        </w:tc>
        <w:tc>
          <w:tcPr>
            <w:tcW w:w="1417" w:type="dxa"/>
          </w:tcPr>
          <w:p w14:paraId="252BFC1C" w14:textId="6AC9B18C" w:rsidR="00323A34" w:rsidRPr="000E1656" w:rsidRDefault="0041614F" w:rsidP="00323A34">
            <w:pPr>
              <w:jc w:val="center"/>
              <w:rPr>
                <w:rFonts w:cstheme="minorHAnsi"/>
              </w:rPr>
            </w:pPr>
            <w:r>
              <w:rPr>
                <w:rFonts w:cstheme="minorHAnsi"/>
              </w:rPr>
              <w:t>5</w:t>
            </w:r>
          </w:p>
        </w:tc>
        <w:tc>
          <w:tcPr>
            <w:tcW w:w="1276" w:type="dxa"/>
          </w:tcPr>
          <w:p w14:paraId="23737805" w14:textId="56AD3002" w:rsidR="00323A34" w:rsidRPr="000E1656" w:rsidRDefault="0041614F" w:rsidP="00323A34">
            <w:pPr>
              <w:jc w:val="center"/>
              <w:rPr>
                <w:rFonts w:cstheme="minorHAnsi"/>
              </w:rPr>
            </w:pPr>
            <w:r>
              <w:rPr>
                <w:rFonts w:cstheme="minorHAnsi"/>
              </w:rPr>
              <w:t>5</w:t>
            </w:r>
          </w:p>
        </w:tc>
        <w:tc>
          <w:tcPr>
            <w:tcW w:w="1276" w:type="dxa"/>
          </w:tcPr>
          <w:p w14:paraId="1FD013FC" w14:textId="4D17A926" w:rsidR="00323A34" w:rsidRPr="000E1656" w:rsidRDefault="0041614F" w:rsidP="00323A34">
            <w:pPr>
              <w:jc w:val="center"/>
              <w:rPr>
                <w:rFonts w:cstheme="minorHAnsi"/>
              </w:rPr>
            </w:pPr>
            <w:r>
              <w:rPr>
                <w:rFonts w:cstheme="minorHAnsi"/>
              </w:rPr>
              <w:t>6</w:t>
            </w:r>
          </w:p>
        </w:tc>
        <w:tc>
          <w:tcPr>
            <w:tcW w:w="1270" w:type="dxa"/>
          </w:tcPr>
          <w:p w14:paraId="0C9B7EEB" w14:textId="1FC0EA47" w:rsidR="00323A34" w:rsidRPr="000E1656" w:rsidRDefault="0041614F" w:rsidP="00323A34">
            <w:pPr>
              <w:jc w:val="center"/>
              <w:rPr>
                <w:rFonts w:cstheme="minorHAnsi"/>
              </w:rPr>
            </w:pPr>
            <w:r>
              <w:rPr>
                <w:rFonts w:cstheme="minorHAnsi"/>
              </w:rPr>
              <w:t>6</w:t>
            </w:r>
          </w:p>
        </w:tc>
      </w:tr>
      <w:tr w:rsidR="00323A34" w:rsidRPr="000E1656" w14:paraId="787C724F" w14:textId="77777777" w:rsidTr="00254FF8">
        <w:tc>
          <w:tcPr>
            <w:tcW w:w="516" w:type="dxa"/>
          </w:tcPr>
          <w:p w14:paraId="4F756396" w14:textId="77777777" w:rsidR="00323A34" w:rsidRPr="000E1656" w:rsidRDefault="00323A34" w:rsidP="00323A34">
            <w:pPr>
              <w:rPr>
                <w:rFonts w:cstheme="minorHAnsi"/>
              </w:rPr>
            </w:pPr>
            <w:r w:rsidRPr="000E1656">
              <w:rPr>
                <w:rFonts w:cstheme="minorHAnsi"/>
              </w:rPr>
              <w:t>3.</w:t>
            </w:r>
          </w:p>
        </w:tc>
        <w:tc>
          <w:tcPr>
            <w:tcW w:w="2037" w:type="dxa"/>
          </w:tcPr>
          <w:p w14:paraId="657A4ABB" w14:textId="3808A2FB" w:rsidR="00323A34" w:rsidRPr="000E1656" w:rsidRDefault="00323A34" w:rsidP="00323A34">
            <w:pPr>
              <w:rPr>
                <w:rFonts w:cstheme="minorHAnsi"/>
              </w:rPr>
            </w:pPr>
            <w:r w:rsidRPr="00323A34">
              <w:rPr>
                <w:rFonts w:cstheme="minorHAnsi"/>
              </w:rPr>
              <w:t>ŚREDNI</w:t>
            </w:r>
          </w:p>
        </w:tc>
        <w:tc>
          <w:tcPr>
            <w:tcW w:w="1270" w:type="dxa"/>
          </w:tcPr>
          <w:p w14:paraId="1F91CE96" w14:textId="77777777" w:rsidR="00323A34" w:rsidRPr="000E1656" w:rsidRDefault="00323A34" w:rsidP="00323A34">
            <w:pPr>
              <w:jc w:val="center"/>
              <w:rPr>
                <w:rFonts w:cstheme="minorHAnsi"/>
              </w:rPr>
            </w:pPr>
            <w:r w:rsidRPr="000E1656">
              <w:rPr>
                <w:rFonts w:cstheme="minorHAnsi"/>
              </w:rPr>
              <w:t>2</w:t>
            </w:r>
          </w:p>
        </w:tc>
        <w:tc>
          <w:tcPr>
            <w:tcW w:w="1417" w:type="dxa"/>
          </w:tcPr>
          <w:p w14:paraId="37AF247D" w14:textId="46E8669B" w:rsidR="00323A34" w:rsidRPr="000E1656" w:rsidRDefault="0041614F" w:rsidP="00323A34">
            <w:pPr>
              <w:jc w:val="center"/>
              <w:rPr>
                <w:rFonts w:cstheme="minorHAnsi"/>
              </w:rPr>
            </w:pPr>
            <w:r>
              <w:rPr>
                <w:rFonts w:cstheme="minorHAnsi"/>
              </w:rPr>
              <w:t>2</w:t>
            </w:r>
          </w:p>
        </w:tc>
        <w:tc>
          <w:tcPr>
            <w:tcW w:w="1276" w:type="dxa"/>
          </w:tcPr>
          <w:p w14:paraId="55179AA3" w14:textId="5CB526B8" w:rsidR="00323A34" w:rsidRPr="000E1656" w:rsidRDefault="0041614F" w:rsidP="00323A34">
            <w:pPr>
              <w:jc w:val="center"/>
              <w:rPr>
                <w:rFonts w:cstheme="minorHAnsi"/>
              </w:rPr>
            </w:pPr>
            <w:r>
              <w:rPr>
                <w:rFonts w:cstheme="minorHAnsi"/>
              </w:rPr>
              <w:t>2</w:t>
            </w:r>
          </w:p>
        </w:tc>
        <w:tc>
          <w:tcPr>
            <w:tcW w:w="1276" w:type="dxa"/>
          </w:tcPr>
          <w:p w14:paraId="05944725" w14:textId="5EE5B2B6" w:rsidR="00323A34" w:rsidRPr="000E1656" w:rsidRDefault="0041614F" w:rsidP="00323A34">
            <w:pPr>
              <w:jc w:val="center"/>
              <w:rPr>
                <w:rFonts w:cstheme="minorHAnsi"/>
              </w:rPr>
            </w:pPr>
            <w:r>
              <w:rPr>
                <w:rFonts w:cstheme="minorHAnsi"/>
              </w:rPr>
              <w:t>1</w:t>
            </w:r>
          </w:p>
        </w:tc>
        <w:tc>
          <w:tcPr>
            <w:tcW w:w="1270" w:type="dxa"/>
          </w:tcPr>
          <w:p w14:paraId="247A0772" w14:textId="2D05CB3B" w:rsidR="00323A34" w:rsidRPr="000E1656" w:rsidRDefault="0041614F" w:rsidP="00323A34">
            <w:pPr>
              <w:jc w:val="center"/>
              <w:rPr>
                <w:rFonts w:cstheme="minorHAnsi"/>
              </w:rPr>
            </w:pPr>
            <w:r>
              <w:rPr>
                <w:rFonts w:cstheme="minorHAnsi"/>
              </w:rPr>
              <w:t>1</w:t>
            </w:r>
          </w:p>
        </w:tc>
      </w:tr>
      <w:tr w:rsidR="00323A34" w:rsidRPr="000E1656" w14:paraId="049F38AF" w14:textId="77777777" w:rsidTr="00254FF8">
        <w:tc>
          <w:tcPr>
            <w:tcW w:w="516" w:type="dxa"/>
          </w:tcPr>
          <w:p w14:paraId="593A2EFE" w14:textId="77777777" w:rsidR="00323A34" w:rsidRPr="000E1656" w:rsidRDefault="00323A34" w:rsidP="00323A34">
            <w:pPr>
              <w:rPr>
                <w:rFonts w:cstheme="minorHAnsi"/>
              </w:rPr>
            </w:pPr>
            <w:r w:rsidRPr="000E1656">
              <w:rPr>
                <w:rFonts w:cstheme="minorHAnsi"/>
              </w:rPr>
              <w:t>4.</w:t>
            </w:r>
          </w:p>
        </w:tc>
        <w:tc>
          <w:tcPr>
            <w:tcW w:w="2037" w:type="dxa"/>
          </w:tcPr>
          <w:p w14:paraId="2829AE80" w14:textId="3E6152F9" w:rsidR="00323A34" w:rsidRPr="000E1656" w:rsidRDefault="00323A34" w:rsidP="00323A34">
            <w:pPr>
              <w:rPr>
                <w:rFonts w:cstheme="minorHAnsi"/>
              </w:rPr>
            </w:pPr>
            <w:r w:rsidRPr="00323A34">
              <w:rPr>
                <w:rFonts w:cstheme="minorHAnsi"/>
              </w:rPr>
              <w:t>ZŁY</w:t>
            </w:r>
          </w:p>
        </w:tc>
        <w:tc>
          <w:tcPr>
            <w:tcW w:w="1270" w:type="dxa"/>
          </w:tcPr>
          <w:p w14:paraId="62183160" w14:textId="3EF20761" w:rsidR="00323A34" w:rsidRPr="000E1656" w:rsidRDefault="0041614F" w:rsidP="00323A34">
            <w:pPr>
              <w:jc w:val="center"/>
              <w:rPr>
                <w:rFonts w:cstheme="minorHAnsi"/>
              </w:rPr>
            </w:pPr>
            <w:r>
              <w:rPr>
                <w:rFonts w:cstheme="minorHAnsi"/>
              </w:rPr>
              <w:t>1</w:t>
            </w:r>
          </w:p>
        </w:tc>
        <w:tc>
          <w:tcPr>
            <w:tcW w:w="1417" w:type="dxa"/>
          </w:tcPr>
          <w:p w14:paraId="552B17A6" w14:textId="6611E8D5" w:rsidR="00323A34" w:rsidRPr="000E1656" w:rsidRDefault="0041614F" w:rsidP="00323A34">
            <w:pPr>
              <w:jc w:val="center"/>
              <w:rPr>
                <w:rFonts w:cstheme="minorHAnsi"/>
              </w:rPr>
            </w:pPr>
            <w:r>
              <w:rPr>
                <w:rFonts w:cstheme="minorHAnsi"/>
              </w:rPr>
              <w:t>1</w:t>
            </w:r>
          </w:p>
        </w:tc>
        <w:tc>
          <w:tcPr>
            <w:tcW w:w="1276" w:type="dxa"/>
          </w:tcPr>
          <w:p w14:paraId="71372B18" w14:textId="581E0FFD" w:rsidR="00323A34" w:rsidRPr="000E1656" w:rsidRDefault="0041614F" w:rsidP="00323A34">
            <w:pPr>
              <w:jc w:val="center"/>
              <w:rPr>
                <w:rFonts w:cstheme="minorHAnsi"/>
              </w:rPr>
            </w:pPr>
            <w:r>
              <w:rPr>
                <w:rFonts w:cstheme="minorHAnsi"/>
              </w:rPr>
              <w:t>1</w:t>
            </w:r>
          </w:p>
        </w:tc>
        <w:tc>
          <w:tcPr>
            <w:tcW w:w="1276" w:type="dxa"/>
          </w:tcPr>
          <w:p w14:paraId="6C7D3838" w14:textId="14584A3C" w:rsidR="00323A34" w:rsidRPr="000E1656" w:rsidRDefault="0041614F" w:rsidP="00323A34">
            <w:pPr>
              <w:jc w:val="center"/>
              <w:rPr>
                <w:rFonts w:cstheme="minorHAnsi"/>
              </w:rPr>
            </w:pPr>
            <w:r>
              <w:rPr>
                <w:rFonts w:cstheme="minorHAnsi"/>
              </w:rPr>
              <w:t>0</w:t>
            </w:r>
          </w:p>
        </w:tc>
        <w:tc>
          <w:tcPr>
            <w:tcW w:w="1270" w:type="dxa"/>
          </w:tcPr>
          <w:p w14:paraId="1AE2A9F7" w14:textId="1A2493CD" w:rsidR="00323A34" w:rsidRPr="000E1656" w:rsidRDefault="0041614F" w:rsidP="00323A34">
            <w:pPr>
              <w:jc w:val="center"/>
              <w:rPr>
                <w:rFonts w:cstheme="minorHAnsi"/>
              </w:rPr>
            </w:pPr>
            <w:r>
              <w:rPr>
                <w:rFonts w:cstheme="minorHAnsi"/>
              </w:rPr>
              <w:t>0</w:t>
            </w:r>
          </w:p>
        </w:tc>
      </w:tr>
      <w:tr w:rsidR="00323A34" w:rsidRPr="000E1656" w14:paraId="41A097EA" w14:textId="77777777" w:rsidTr="00254FF8">
        <w:tc>
          <w:tcPr>
            <w:tcW w:w="516" w:type="dxa"/>
          </w:tcPr>
          <w:p w14:paraId="6B4E3DC8" w14:textId="77777777" w:rsidR="00323A34" w:rsidRPr="000E1656" w:rsidRDefault="00323A34" w:rsidP="00323A34">
            <w:pPr>
              <w:rPr>
                <w:rFonts w:cstheme="minorHAnsi"/>
              </w:rPr>
            </w:pPr>
            <w:r w:rsidRPr="000E1656">
              <w:rPr>
                <w:rFonts w:cstheme="minorHAnsi"/>
              </w:rPr>
              <w:t>5.</w:t>
            </w:r>
          </w:p>
        </w:tc>
        <w:tc>
          <w:tcPr>
            <w:tcW w:w="2037" w:type="dxa"/>
          </w:tcPr>
          <w:p w14:paraId="33A501F1" w14:textId="36B8E17D" w:rsidR="00323A34" w:rsidRPr="000E1656" w:rsidRDefault="00323A34" w:rsidP="00323A34">
            <w:pPr>
              <w:rPr>
                <w:rFonts w:cstheme="minorHAnsi"/>
              </w:rPr>
            </w:pPr>
            <w:r w:rsidRPr="00323A34">
              <w:rPr>
                <w:rFonts w:cstheme="minorHAnsi"/>
              </w:rPr>
              <w:t>AWARYJNY</w:t>
            </w:r>
          </w:p>
        </w:tc>
        <w:tc>
          <w:tcPr>
            <w:tcW w:w="1270" w:type="dxa"/>
          </w:tcPr>
          <w:p w14:paraId="5C483DC3" w14:textId="77777777" w:rsidR="00323A34" w:rsidRPr="000E1656" w:rsidRDefault="00323A34" w:rsidP="00323A34">
            <w:pPr>
              <w:jc w:val="center"/>
              <w:rPr>
                <w:rFonts w:cstheme="minorHAnsi"/>
              </w:rPr>
            </w:pPr>
            <w:r w:rsidRPr="000E1656">
              <w:rPr>
                <w:rFonts w:cstheme="minorHAnsi"/>
              </w:rPr>
              <w:t>0</w:t>
            </w:r>
          </w:p>
        </w:tc>
        <w:tc>
          <w:tcPr>
            <w:tcW w:w="1417" w:type="dxa"/>
          </w:tcPr>
          <w:p w14:paraId="5A76390E" w14:textId="77777777" w:rsidR="00323A34" w:rsidRPr="000E1656" w:rsidRDefault="00323A34" w:rsidP="00323A34">
            <w:pPr>
              <w:jc w:val="center"/>
              <w:rPr>
                <w:rFonts w:cstheme="minorHAnsi"/>
              </w:rPr>
            </w:pPr>
            <w:r w:rsidRPr="000E1656">
              <w:rPr>
                <w:rFonts w:cstheme="minorHAnsi"/>
              </w:rPr>
              <w:t>0</w:t>
            </w:r>
          </w:p>
        </w:tc>
        <w:tc>
          <w:tcPr>
            <w:tcW w:w="1276" w:type="dxa"/>
          </w:tcPr>
          <w:p w14:paraId="0477B86A" w14:textId="77777777" w:rsidR="00323A34" w:rsidRPr="000E1656" w:rsidRDefault="00323A34" w:rsidP="00323A34">
            <w:pPr>
              <w:jc w:val="center"/>
              <w:rPr>
                <w:rFonts w:cstheme="minorHAnsi"/>
              </w:rPr>
            </w:pPr>
            <w:r w:rsidRPr="000E1656">
              <w:rPr>
                <w:rFonts w:cstheme="minorHAnsi"/>
              </w:rPr>
              <w:t>0</w:t>
            </w:r>
          </w:p>
        </w:tc>
        <w:tc>
          <w:tcPr>
            <w:tcW w:w="1276" w:type="dxa"/>
          </w:tcPr>
          <w:p w14:paraId="7FEA6450" w14:textId="77777777" w:rsidR="00323A34" w:rsidRPr="000E1656" w:rsidRDefault="00323A34" w:rsidP="00323A34">
            <w:pPr>
              <w:jc w:val="center"/>
              <w:rPr>
                <w:rFonts w:cstheme="minorHAnsi"/>
              </w:rPr>
            </w:pPr>
            <w:r w:rsidRPr="000E1656">
              <w:rPr>
                <w:rFonts w:cstheme="minorHAnsi"/>
              </w:rPr>
              <w:t>0</w:t>
            </w:r>
          </w:p>
        </w:tc>
        <w:tc>
          <w:tcPr>
            <w:tcW w:w="1270" w:type="dxa"/>
          </w:tcPr>
          <w:p w14:paraId="5E175EE6" w14:textId="77777777" w:rsidR="00323A34" w:rsidRPr="000E1656" w:rsidRDefault="00323A34" w:rsidP="00323A34">
            <w:pPr>
              <w:jc w:val="center"/>
              <w:rPr>
                <w:rFonts w:cstheme="minorHAnsi"/>
              </w:rPr>
            </w:pPr>
            <w:r w:rsidRPr="000E1656">
              <w:rPr>
                <w:rFonts w:cstheme="minorHAnsi"/>
              </w:rPr>
              <w:t>0</w:t>
            </w:r>
          </w:p>
        </w:tc>
      </w:tr>
    </w:tbl>
    <w:p w14:paraId="685E1EE8" w14:textId="77777777" w:rsidR="000E1656" w:rsidRPr="000E1656" w:rsidRDefault="000E1656" w:rsidP="000E1656">
      <w:pPr>
        <w:spacing w:after="0" w:line="240" w:lineRule="auto"/>
        <w:ind w:left="66"/>
        <w:rPr>
          <w:rFonts w:cstheme="minorHAnsi"/>
        </w:rPr>
      </w:pPr>
    </w:p>
    <w:p w14:paraId="010F2D67" w14:textId="77777777" w:rsidR="00D53761" w:rsidRPr="00D53761" w:rsidRDefault="00D53761" w:rsidP="00D53761">
      <w:pPr>
        <w:spacing w:after="0" w:line="240" w:lineRule="auto"/>
        <w:contextualSpacing/>
        <w:rPr>
          <w:rFonts w:cstheme="minorHAnsi"/>
        </w:rPr>
      </w:pPr>
    </w:p>
    <w:p w14:paraId="5A0379AF" w14:textId="091B75B5" w:rsidR="00323A34" w:rsidRPr="000F6440" w:rsidRDefault="00B4074C" w:rsidP="000F6440">
      <w:pPr>
        <w:spacing w:after="0" w:line="240" w:lineRule="auto"/>
        <w:rPr>
          <w:rFonts w:cstheme="minorHAnsi"/>
        </w:rPr>
      </w:pPr>
      <w:r w:rsidRPr="00F45C4D">
        <w:rPr>
          <w:rFonts w:cstheme="minorHAnsi"/>
        </w:rPr>
        <w:t>3</w:t>
      </w:r>
      <w:r w:rsidR="000F6440" w:rsidRPr="00F45C4D">
        <w:rPr>
          <w:rFonts w:cstheme="minorHAnsi"/>
        </w:rPr>
        <w:t>.</w:t>
      </w:r>
      <w:r w:rsidR="000F6440">
        <w:rPr>
          <w:rFonts w:cstheme="minorHAnsi"/>
        </w:rPr>
        <w:t xml:space="preserve"> </w:t>
      </w:r>
      <w:r w:rsidR="00323A34" w:rsidRPr="000F6440">
        <w:rPr>
          <w:rFonts w:cstheme="minorHAnsi"/>
        </w:rPr>
        <w:t xml:space="preserve">Prognozowany wykaz stanu technicznego lokali zlokalizowanych na nieruchomościach wspólnych,  lokalu położonego w budynku mieszkalnym jednorodzinnym, stanowiącym własność Gminy Komorniki oraz lokali położonych na nieruchomości o funkcji użytkowej, stanowiącej własność Gminy Komorniki, sklasyfikowany jako dobry, zadowalający, średni, zły lub awaryjny, zgodnie z zasadami wskazanymi w § 5. </w:t>
      </w:r>
      <w:r w:rsidR="004F0A87">
        <w:rPr>
          <w:rFonts w:cstheme="minorHAnsi"/>
        </w:rPr>
        <w:t>1</w:t>
      </w:r>
      <w:r w:rsidR="00323A34" w:rsidRPr="000F6440">
        <w:rPr>
          <w:rFonts w:cstheme="minorHAnsi"/>
        </w:rPr>
        <w:t>.  i przedstawiony w tabeli poniżej:</w:t>
      </w:r>
    </w:p>
    <w:p w14:paraId="75C6D6AE" w14:textId="77777777" w:rsidR="00323A34" w:rsidRPr="00323A34" w:rsidRDefault="00323A34" w:rsidP="00323A34">
      <w:pPr>
        <w:pStyle w:val="Akapitzlist"/>
        <w:spacing w:after="0" w:line="240" w:lineRule="auto"/>
        <w:ind w:left="426"/>
        <w:rPr>
          <w:rFonts w:cstheme="minorHAnsi"/>
        </w:rPr>
      </w:pPr>
    </w:p>
    <w:tbl>
      <w:tblPr>
        <w:tblStyle w:val="Tabela-Siatka"/>
        <w:tblW w:w="0" w:type="auto"/>
        <w:tblLook w:val="04A0" w:firstRow="1" w:lastRow="0" w:firstColumn="1" w:lastColumn="0" w:noHBand="0" w:noVBand="1"/>
      </w:tblPr>
      <w:tblGrid>
        <w:gridCol w:w="516"/>
        <w:gridCol w:w="2037"/>
        <w:gridCol w:w="1270"/>
        <w:gridCol w:w="1417"/>
        <w:gridCol w:w="1276"/>
        <w:gridCol w:w="1276"/>
        <w:gridCol w:w="1270"/>
      </w:tblGrid>
      <w:tr w:rsidR="00323A34" w:rsidRPr="00323A34" w14:paraId="7D56962A" w14:textId="77777777" w:rsidTr="00254FF8">
        <w:trPr>
          <w:trHeight w:val="503"/>
        </w:trPr>
        <w:tc>
          <w:tcPr>
            <w:tcW w:w="516" w:type="dxa"/>
            <w:vMerge w:val="restart"/>
            <w:vAlign w:val="center"/>
          </w:tcPr>
          <w:p w14:paraId="52602629" w14:textId="77777777" w:rsidR="00323A34" w:rsidRPr="00323A34" w:rsidRDefault="00323A34" w:rsidP="00254FF8">
            <w:pPr>
              <w:rPr>
                <w:rFonts w:cstheme="minorHAnsi"/>
                <w:b/>
              </w:rPr>
            </w:pPr>
            <w:r w:rsidRPr="00323A34">
              <w:rPr>
                <w:rFonts w:cstheme="minorHAnsi"/>
                <w:b/>
              </w:rPr>
              <w:t>Lp.</w:t>
            </w:r>
          </w:p>
        </w:tc>
        <w:tc>
          <w:tcPr>
            <w:tcW w:w="2037" w:type="dxa"/>
            <w:vMerge w:val="restart"/>
            <w:vAlign w:val="center"/>
          </w:tcPr>
          <w:p w14:paraId="4DA4C8D6" w14:textId="77777777" w:rsidR="00323A34" w:rsidRPr="00323A34" w:rsidRDefault="00323A34" w:rsidP="00254FF8">
            <w:pPr>
              <w:jc w:val="center"/>
              <w:rPr>
                <w:rFonts w:cstheme="minorHAnsi"/>
                <w:b/>
              </w:rPr>
            </w:pPr>
            <w:r w:rsidRPr="00323A34">
              <w:rPr>
                <w:rFonts w:cstheme="minorHAnsi"/>
                <w:b/>
              </w:rPr>
              <w:t>Ocena stanu technicznego lokali</w:t>
            </w:r>
          </w:p>
        </w:tc>
        <w:tc>
          <w:tcPr>
            <w:tcW w:w="6509" w:type="dxa"/>
            <w:gridSpan w:val="5"/>
            <w:vAlign w:val="center"/>
          </w:tcPr>
          <w:p w14:paraId="45B9A0B2" w14:textId="78E9C802" w:rsidR="00323A34" w:rsidRPr="00323A34" w:rsidRDefault="00323A34" w:rsidP="00254FF8">
            <w:pPr>
              <w:jc w:val="center"/>
              <w:rPr>
                <w:rFonts w:cstheme="minorHAnsi"/>
                <w:b/>
              </w:rPr>
            </w:pPr>
            <w:r w:rsidRPr="00323A34">
              <w:rPr>
                <w:rFonts w:cstheme="minorHAnsi"/>
                <w:b/>
              </w:rPr>
              <w:t>Prognozowana liczba lokali zlokalizowanych na nieruchomościach wspólnych, jednorodzinnych i nieruchomościach o funkcji użytkowej</w:t>
            </w:r>
            <w:r w:rsidR="009F12E6">
              <w:rPr>
                <w:rFonts w:cstheme="minorHAnsi"/>
                <w:b/>
              </w:rPr>
              <w:t xml:space="preserve"> (szt.)</w:t>
            </w:r>
          </w:p>
        </w:tc>
      </w:tr>
      <w:tr w:rsidR="00323A34" w:rsidRPr="00323A34" w14:paraId="6FC286F0" w14:textId="77777777" w:rsidTr="00254FF8">
        <w:trPr>
          <w:trHeight w:val="502"/>
        </w:trPr>
        <w:tc>
          <w:tcPr>
            <w:tcW w:w="516" w:type="dxa"/>
            <w:vMerge/>
          </w:tcPr>
          <w:p w14:paraId="7DCBD0BA" w14:textId="77777777" w:rsidR="00323A34" w:rsidRPr="00323A34" w:rsidRDefault="00323A34" w:rsidP="00254FF8">
            <w:pPr>
              <w:rPr>
                <w:rFonts w:cstheme="minorHAnsi"/>
                <w:b/>
              </w:rPr>
            </w:pPr>
          </w:p>
        </w:tc>
        <w:tc>
          <w:tcPr>
            <w:tcW w:w="2037" w:type="dxa"/>
            <w:vMerge/>
          </w:tcPr>
          <w:p w14:paraId="0F1358FF" w14:textId="77777777" w:rsidR="00323A34" w:rsidRPr="00323A34" w:rsidRDefault="00323A34" w:rsidP="00254FF8">
            <w:pPr>
              <w:rPr>
                <w:rFonts w:cstheme="minorHAnsi"/>
                <w:b/>
              </w:rPr>
            </w:pPr>
          </w:p>
        </w:tc>
        <w:tc>
          <w:tcPr>
            <w:tcW w:w="1270" w:type="dxa"/>
            <w:vAlign w:val="center"/>
          </w:tcPr>
          <w:p w14:paraId="7449F7FD" w14:textId="351157AF" w:rsidR="00323A34" w:rsidRPr="00323A34" w:rsidRDefault="00323A34" w:rsidP="00254FF8">
            <w:pPr>
              <w:jc w:val="center"/>
              <w:rPr>
                <w:rFonts w:cstheme="minorHAnsi"/>
                <w:b/>
              </w:rPr>
            </w:pPr>
            <w:r w:rsidRPr="00323A34">
              <w:rPr>
                <w:rFonts w:cstheme="minorHAnsi"/>
                <w:b/>
              </w:rPr>
              <w:t>202</w:t>
            </w:r>
            <w:r>
              <w:rPr>
                <w:rFonts w:cstheme="minorHAnsi"/>
                <w:b/>
              </w:rPr>
              <w:t>5</w:t>
            </w:r>
            <w:r w:rsidRPr="00323A34">
              <w:rPr>
                <w:rFonts w:cstheme="minorHAnsi"/>
                <w:b/>
              </w:rPr>
              <w:t xml:space="preserve"> r.</w:t>
            </w:r>
          </w:p>
        </w:tc>
        <w:tc>
          <w:tcPr>
            <w:tcW w:w="1417" w:type="dxa"/>
            <w:vAlign w:val="center"/>
          </w:tcPr>
          <w:p w14:paraId="54BB9E71" w14:textId="273DBB91" w:rsidR="00323A34" w:rsidRPr="00323A34" w:rsidRDefault="00323A34" w:rsidP="00254FF8">
            <w:pPr>
              <w:jc w:val="center"/>
              <w:rPr>
                <w:rFonts w:cstheme="minorHAnsi"/>
                <w:b/>
              </w:rPr>
            </w:pPr>
            <w:r w:rsidRPr="00323A34">
              <w:rPr>
                <w:rFonts w:cstheme="minorHAnsi"/>
                <w:b/>
              </w:rPr>
              <w:t>202</w:t>
            </w:r>
            <w:r>
              <w:rPr>
                <w:rFonts w:cstheme="minorHAnsi"/>
                <w:b/>
              </w:rPr>
              <w:t>6</w:t>
            </w:r>
            <w:r w:rsidRPr="00323A34">
              <w:rPr>
                <w:rFonts w:cstheme="minorHAnsi"/>
                <w:b/>
              </w:rPr>
              <w:t xml:space="preserve"> r.</w:t>
            </w:r>
          </w:p>
        </w:tc>
        <w:tc>
          <w:tcPr>
            <w:tcW w:w="1276" w:type="dxa"/>
            <w:vAlign w:val="center"/>
          </w:tcPr>
          <w:p w14:paraId="3CBA46DE" w14:textId="3FA81DD8" w:rsidR="00323A34" w:rsidRPr="00323A34" w:rsidRDefault="00323A34" w:rsidP="00254FF8">
            <w:pPr>
              <w:jc w:val="center"/>
              <w:rPr>
                <w:rFonts w:cstheme="minorHAnsi"/>
                <w:b/>
              </w:rPr>
            </w:pPr>
            <w:r w:rsidRPr="00323A34">
              <w:rPr>
                <w:rFonts w:cstheme="minorHAnsi"/>
                <w:b/>
              </w:rPr>
              <w:t>202</w:t>
            </w:r>
            <w:r>
              <w:rPr>
                <w:rFonts w:cstheme="minorHAnsi"/>
                <w:b/>
              </w:rPr>
              <w:t>7</w:t>
            </w:r>
            <w:r w:rsidRPr="00323A34">
              <w:rPr>
                <w:rFonts w:cstheme="minorHAnsi"/>
                <w:b/>
              </w:rPr>
              <w:t xml:space="preserve"> r.</w:t>
            </w:r>
          </w:p>
        </w:tc>
        <w:tc>
          <w:tcPr>
            <w:tcW w:w="1276" w:type="dxa"/>
            <w:vAlign w:val="center"/>
          </w:tcPr>
          <w:p w14:paraId="513D891D" w14:textId="6B0D1314" w:rsidR="00323A34" w:rsidRPr="00323A34" w:rsidRDefault="00323A34" w:rsidP="00254FF8">
            <w:pPr>
              <w:jc w:val="center"/>
              <w:rPr>
                <w:rFonts w:cstheme="minorHAnsi"/>
                <w:b/>
              </w:rPr>
            </w:pPr>
            <w:r w:rsidRPr="00323A34">
              <w:rPr>
                <w:rFonts w:cstheme="minorHAnsi"/>
                <w:b/>
              </w:rPr>
              <w:t>202</w:t>
            </w:r>
            <w:r>
              <w:rPr>
                <w:rFonts w:cstheme="minorHAnsi"/>
                <w:b/>
              </w:rPr>
              <w:t>8</w:t>
            </w:r>
            <w:r w:rsidRPr="00323A34">
              <w:rPr>
                <w:rFonts w:cstheme="minorHAnsi"/>
                <w:b/>
              </w:rPr>
              <w:t xml:space="preserve"> r.</w:t>
            </w:r>
          </w:p>
        </w:tc>
        <w:tc>
          <w:tcPr>
            <w:tcW w:w="1270" w:type="dxa"/>
            <w:vAlign w:val="center"/>
          </w:tcPr>
          <w:p w14:paraId="40C20EE7" w14:textId="432DB75A" w:rsidR="00323A34" w:rsidRPr="00323A34" w:rsidRDefault="00323A34" w:rsidP="00254FF8">
            <w:pPr>
              <w:jc w:val="center"/>
              <w:rPr>
                <w:rFonts w:cstheme="minorHAnsi"/>
                <w:b/>
              </w:rPr>
            </w:pPr>
            <w:r w:rsidRPr="00323A34">
              <w:rPr>
                <w:rFonts w:cstheme="minorHAnsi"/>
                <w:b/>
              </w:rPr>
              <w:t>202</w:t>
            </w:r>
            <w:r>
              <w:rPr>
                <w:rFonts w:cstheme="minorHAnsi"/>
                <w:b/>
              </w:rPr>
              <w:t>9</w:t>
            </w:r>
            <w:r w:rsidRPr="00323A34">
              <w:rPr>
                <w:rFonts w:cstheme="minorHAnsi"/>
                <w:b/>
              </w:rPr>
              <w:t xml:space="preserve"> r.</w:t>
            </w:r>
          </w:p>
        </w:tc>
      </w:tr>
      <w:tr w:rsidR="00323A34" w:rsidRPr="00323A34" w14:paraId="793BE821" w14:textId="77777777" w:rsidTr="00254FF8">
        <w:tc>
          <w:tcPr>
            <w:tcW w:w="516" w:type="dxa"/>
          </w:tcPr>
          <w:p w14:paraId="14BF88EC" w14:textId="77777777" w:rsidR="00323A34" w:rsidRPr="00323A34" w:rsidRDefault="00323A34" w:rsidP="00254FF8">
            <w:pPr>
              <w:rPr>
                <w:rFonts w:cstheme="minorHAnsi"/>
              </w:rPr>
            </w:pPr>
            <w:r w:rsidRPr="00323A34">
              <w:rPr>
                <w:rFonts w:cstheme="minorHAnsi"/>
              </w:rPr>
              <w:t>1.</w:t>
            </w:r>
          </w:p>
        </w:tc>
        <w:tc>
          <w:tcPr>
            <w:tcW w:w="2037" w:type="dxa"/>
          </w:tcPr>
          <w:p w14:paraId="12F47039" w14:textId="77777777" w:rsidR="00323A34" w:rsidRPr="00323A34" w:rsidRDefault="00323A34" w:rsidP="00254FF8">
            <w:pPr>
              <w:rPr>
                <w:rFonts w:cstheme="minorHAnsi"/>
              </w:rPr>
            </w:pPr>
            <w:r w:rsidRPr="00323A34">
              <w:rPr>
                <w:rFonts w:cstheme="minorHAnsi"/>
              </w:rPr>
              <w:t>DOBRY</w:t>
            </w:r>
          </w:p>
        </w:tc>
        <w:tc>
          <w:tcPr>
            <w:tcW w:w="1270" w:type="dxa"/>
          </w:tcPr>
          <w:p w14:paraId="4681EDCF" w14:textId="615F7777" w:rsidR="00323A34" w:rsidRPr="00323A34" w:rsidRDefault="00323A34" w:rsidP="00254FF8">
            <w:pPr>
              <w:jc w:val="center"/>
              <w:rPr>
                <w:rFonts w:cstheme="minorHAnsi"/>
              </w:rPr>
            </w:pPr>
            <w:r>
              <w:rPr>
                <w:rFonts w:cstheme="minorHAnsi"/>
              </w:rPr>
              <w:t>0</w:t>
            </w:r>
          </w:p>
        </w:tc>
        <w:tc>
          <w:tcPr>
            <w:tcW w:w="1417" w:type="dxa"/>
          </w:tcPr>
          <w:p w14:paraId="018CF366" w14:textId="47BF8927" w:rsidR="00323A34" w:rsidRPr="00323A34" w:rsidRDefault="0041614F" w:rsidP="00254FF8">
            <w:pPr>
              <w:jc w:val="center"/>
              <w:rPr>
                <w:rFonts w:cstheme="minorHAnsi"/>
              </w:rPr>
            </w:pPr>
            <w:r>
              <w:rPr>
                <w:rFonts w:cstheme="minorHAnsi"/>
              </w:rPr>
              <w:t>0</w:t>
            </w:r>
          </w:p>
        </w:tc>
        <w:tc>
          <w:tcPr>
            <w:tcW w:w="1276" w:type="dxa"/>
          </w:tcPr>
          <w:p w14:paraId="17623153" w14:textId="19FD8B3E" w:rsidR="00323A34" w:rsidRPr="00323A34" w:rsidRDefault="0041614F" w:rsidP="00254FF8">
            <w:pPr>
              <w:jc w:val="center"/>
              <w:rPr>
                <w:rFonts w:cstheme="minorHAnsi"/>
              </w:rPr>
            </w:pPr>
            <w:r>
              <w:rPr>
                <w:rFonts w:cstheme="minorHAnsi"/>
              </w:rPr>
              <w:t>0</w:t>
            </w:r>
          </w:p>
        </w:tc>
        <w:tc>
          <w:tcPr>
            <w:tcW w:w="1276" w:type="dxa"/>
          </w:tcPr>
          <w:p w14:paraId="2D0B0982" w14:textId="2ED3767B" w:rsidR="00323A34" w:rsidRPr="00323A34" w:rsidRDefault="0041614F" w:rsidP="00254FF8">
            <w:pPr>
              <w:jc w:val="center"/>
              <w:rPr>
                <w:rFonts w:cstheme="minorHAnsi"/>
              </w:rPr>
            </w:pPr>
            <w:r>
              <w:rPr>
                <w:rFonts w:cstheme="minorHAnsi"/>
              </w:rPr>
              <w:t>0</w:t>
            </w:r>
          </w:p>
        </w:tc>
        <w:tc>
          <w:tcPr>
            <w:tcW w:w="1270" w:type="dxa"/>
          </w:tcPr>
          <w:p w14:paraId="1B7882BA" w14:textId="017525ED" w:rsidR="00323A34" w:rsidRPr="00323A34" w:rsidRDefault="0041614F" w:rsidP="00254FF8">
            <w:pPr>
              <w:jc w:val="center"/>
              <w:rPr>
                <w:rFonts w:cstheme="minorHAnsi"/>
              </w:rPr>
            </w:pPr>
            <w:r>
              <w:rPr>
                <w:rFonts w:cstheme="minorHAnsi"/>
              </w:rPr>
              <w:t>0</w:t>
            </w:r>
          </w:p>
        </w:tc>
      </w:tr>
      <w:tr w:rsidR="00323A34" w:rsidRPr="00323A34" w14:paraId="039098D7" w14:textId="77777777" w:rsidTr="00254FF8">
        <w:tc>
          <w:tcPr>
            <w:tcW w:w="516" w:type="dxa"/>
          </w:tcPr>
          <w:p w14:paraId="0A453849" w14:textId="77777777" w:rsidR="00323A34" w:rsidRPr="00323A34" w:rsidRDefault="00323A34" w:rsidP="00254FF8">
            <w:pPr>
              <w:rPr>
                <w:rFonts w:cstheme="minorHAnsi"/>
              </w:rPr>
            </w:pPr>
            <w:r w:rsidRPr="00323A34">
              <w:rPr>
                <w:rFonts w:cstheme="minorHAnsi"/>
              </w:rPr>
              <w:t>2.</w:t>
            </w:r>
          </w:p>
        </w:tc>
        <w:tc>
          <w:tcPr>
            <w:tcW w:w="2037" w:type="dxa"/>
          </w:tcPr>
          <w:p w14:paraId="1C8CEECF" w14:textId="77777777" w:rsidR="00323A34" w:rsidRPr="00323A34" w:rsidRDefault="00323A34" w:rsidP="00254FF8">
            <w:pPr>
              <w:rPr>
                <w:rFonts w:cstheme="minorHAnsi"/>
              </w:rPr>
            </w:pPr>
            <w:r w:rsidRPr="00323A34">
              <w:rPr>
                <w:rFonts w:cstheme="minorHAnsi"/>
              </w:rPr>
              <w:t>ZADOWALAJĄCY</w:t>
            </w:r>
          </w:p>
        </w:tc>
        <w:tc>
          <w:tcPr>
            <w:tcW w:w="1270" w:type="dxa"/>
          </w:tcPr>
          <w:p w14:paraId="65B24E11" w14:textId="3EEC98F2" w:rsidR="00323A34" w:rsidRPr="00323A34" w:rsidRDefault="00323A34" w:rsidP="00254FF8">
            <w:pPr>
              <w:jc w:val="center"/>
              <w:rPr>
                <w:rFonts w:cstheme="minorHAnsi"/>
              </w:rPr>
            </w:pPr>
            <w:r>
              <w:rPr>
                <w:rFonts w:cstheme="minorHAnsi"/>
              </w:rPr>
              <w:t>6</w:t>
            </w:r>
          </w:p>
        </w:tc>
        <w:tc>
          <w:tcPr>
            <w:tcW w:w="1417" w:type="dxa"/>
          </w:tcPr>
          <w:p w14:paraId="0469DE56" w14:textId="4951ED5E" w:rsidR="00323A34" w:rsidRPr="00323A34" w:rsidRDefault="0041614F" w:rsidP="00254FF8">
            <w:pPr>
              <w:jc w:val="center"/>
              <w:rPr>
                <w:rFonts w:cstheme="minorHAnsi"/>
              </w:rPr>
            </w:pPr>
            <w:r>
              <w:rPr>
                <w:rFonts w:cstheme="minorHAnsi"/>
              </w:rPr>
              <w:t>6</w:t>
            </w:r>
          </w:p>
        </w:tc>
        <w:tc>
          <w:tcPr>
            <w:tcW w:w="1276" w:type="dxa"/>
          </w:tcPr>
          <w:p w14:paraId="6C833BE4" w14:textId="670BFD4C" w:rsidR="00323A34" w:rsidRPr="00323A34" w:rsidRDefault="0041614F" w:rsidP="00254FF8">
            <w:pPr>
              <w:jc w:val="center"/>
              <w:rPr>
                <w:rFonts w:cstheme="minorHAnsi"/>
              </w:rPr>
            </w:pPr>
            <w:r>
              <w:rPr>
                <w:rFonts w:cstheme="minorHAnsi"/>
              </w:rPr>
              <w:t>6</w:t>
            </w:r>
          </w:p>
        </w:tc>
        <w:tc>
          <w:tcPr>
            <w:tcW w:w="1276" w:type="dxa"/>
          </w:tcPr>
          <w:p w14:paraId="019D91F1" w14:textId="520137C2" w:rsidR="00323A34" w:rsidRPr="00323A34" w:rsidRDefault="0041614F" w:rsidP="00254FF8">
            <w:pPr>
              <w:jc w:val="center"/>
              <w:rPr>
                <w:rFonts w:cstheme="minorHAnsi"/>
              </w:rPr>
            </w:pPr>
            <w:r>
              <w:rPr>
                <w:rFonts w:cstheme="minorHAnsi"/>
              </w:rPr>
              <w:t>6</w:t>
            </w:r>
          </w:p>
        </w:tc>
        <w:tc>
          <w:tcPr>
            <w:tcW w:w="1270" w:type="dxa"/>
          </w:tcPr>
          <w:p w14:paraId="14F484A0" w14:textId="13C4DD94" w:rsidR="00323A34" w:rsidRPr="00323A34" w:rsidRDefault="0041614F" w:rsidP="00254FF8">
            <w:pPr>
              <w:jc w:val="center"/>
              <w:rPr>
                <w:rFonts w:cstheme="minorHAnsi"/>
              </w:rPr>
            </w:pPr>
            <w:r>
              <w:rPr>
                <w:rFonts w:cstheme="minorHAnsi"/>
              </w:rPr>
              <w:t>6</w:t>
            </w:r>
          </w:p>
        </w:tc>
      </w:tr>
      <w:tr w:rsidR="00323A34" w:rsidRPr="00323A34" w14:paraId="07746E1F" w14:textId="77777777" w:rsidTr="00254FF8">
        <w:tc>
          <w:tcPr>
            <w:tcW w:w="516" w:type="dxa"/>
          </w:tcPr>
          <w:p w14:paraId="5D441D40" w14:textId="77777777" w:rsidR="00323A34" w:rsidRPr="00323A34" w:rsidRDefault="00323A34" w:rsidP="00254FF8">
            <w:pPr>
              <w:rPr>
                <w:rFonts w:cstheme="minorHAnsi"/>
              </w:rPr>
            </w:pPr>
            <w:r w:rsidRPr="00323A34">
              <w:rPr>
                <w:rFonts w:cstheme="minorHAnsi"/>
              </w:rPr>
              <w:t>3.</w:t>
            </w:r>
          </w:p>
        </w:tc>
        <w:tc>
          <w:tcPr>
            <w:tcW w:w="2037" w:type="dxa"/>
          </w:tcPr>
          <w:p w14:paraId="1922F7BB" w14:textId="77777777" w:rsidR="00323A34" w:rsidRPr="00323A34" w:rsidRDefault="00323A34" w:rsidP="00254FF8">
            <w:pPr>
              <w:rPr>
                <w:rFonts w:cstheme="minorHAnsi"/>
              </w:rPr>
            </w:pPr>
            <w:r w:rsidRPr="00323A34">
              <w:rPr>
                <w:rFonts w:cstheme="minorHAnsi"/>
              </w:rPr>
              <w:t>ŚREDNI</w:t>
            </w:r>
          </w:p>
        </w:tc>
        <w:tc>
          <w:tcPr>
            <w:tcW w:w="1270" w:type="dxa"/>
          </w:tcPr>
          <w:p w14:paraId="6D868A10" w14:textId="0D634733" w:rsidR="00323A34" w:rsidRPr="00323A34" w:rsidRDefault="00323A34" w:rsidP="00254FF8">
            <w:pPr>
              <w:jc w:val="center"/>
              <w:rPr>
                <w:rFonts w:cstheme="minorHAnsi"/>
              </w:rPr>
            </w:pPr>
            <w:r>
              <w:rPr>
                <w:rFonts w:cstheme="minorHAnsi"/>
              </w:rPr>
              <w:t>1</w:t>
            </w:r>
          </w:p>
        </w:tc>
        <w:tc>
          <w:tcPr>
            <w:tcW w:w="1417" w:type="dxa"/>
          </w:tcPr>
          <w:p w14:paraId="5D6B6C71" w14:textId="063CB564" w:rsidR="00323A34" w:rsidRPr="00323A34" w:rsidRDefault="0041614F" w:rsidP="00254FF8">
            <w:pPr>
              <w:jc w:val="center"/>
              <w:rPr>
                <w:rFonts w:cstheme="minorHAnsi"/>
              </w:rPr>
            </w:pPr>
            <w:r>
              <w:rPr>
                <w:rFonts w:cstheme="minorHAnsi"/>
              </w:rPr>
              <w:t>0</w:t>
            </w:r>
          </w:p>
        </w:tc>
        <w:tc>
          <w:tcPr>
            <w:tcW w:w="1276" w:type="dxa"/>
          </w:tcPr>
          <w:p w14:paraId="7D2C02CA" w14:textId="62076AF5" w:rsidR="00323A34" w:rsidRPr="00323A34" w:rsidRDefault="0041614F" w:rsidP="00254FF8">
            <w:pPr>
              <w:jc w:val="center"/>
              <w:rPr>
                <w:rFonts w:cstheme="minorHAnsi"/>
              </w:rPr>
            </w:pPr>
            <w:r>
              <w:rPr>
                <w:rFonts w:cstheme="minorHAnsi"/>
              </w:rPr>
              <w:t>0</w:t>
            </w:r>
          </w:p>
        </w:tc>
        <w:tc>
          <w:tcPr>
            <w:tcW w:w="1276" w:type="dxa"/>
          </w:tcPr>
          <w:p w14:paraId="1C73F420" w14:textId="519F3617" w:rsidR="00323A34" w:rsidRPr="00323A34" w:rsidRDefault="0041614F" w:rsidP="00254FF8">
            <w:pPr>
              <w:jc w:val="center"/>
              <w:rPr>
                <w:rFonts w:cstheme="minorHAnsi"/>
              </w:rPr>
            </w:pPr>
            <w:r>
              <w:rPr>
                <w:rFonts w:cstheme="minorHAnsi"/>
              </w:rPr>
              <w:t>0</w:t>
            </w:r>
          </w:p>
        </w:tc>
        <w:tc>
          <w:tcPr>
            <w:tcW w:w="1270" w:type="dxa"/>
          </w:tcPr>
          <w:p w14:paraId="2769231A" w14:textId="63EAFF53" w:rsidR="00323A34" w:rsidRPr="00323A34" w:rsidRDefault="0041614F" w:rsidP="00254FF8">
            <w:pPr>
              <w:jc w:val="center"/>
              <w:rPr>
                <w:rFonts w:cstheme="minorHAnsi"/>
              </w:rPr>
            </w:pPr>
            <w:r>
              <w:rPr>
                <w:rFonts w:cstheme="minorHAnsi"/>
              </w:rPr>
              <w:t>0</w:t>
            </w:r>
          </w:p>
        </w:tc>
      </w:tr>
      <w:tr w:rsidR="00323A34" w:rsidRPr="00323A34" w14:paraId="7F8288C6" w14:textId="77777777" w:rsidTr="00254FF8">
        <w:tc>
          <w:tcPr>
            <w:tcW w:w="516" w:type="dxa"/>
          </w:tcPr>
          <w:p w14:paraId="18B14E4A" w14:textId="77777777" w:rsidR="00323A34" w:rsidRPr="00323A34" w:rsidRDefault="00323A34" w:rsidP="00254FF8">
            <w:pPr>
              <w:rPr>
                <w:rFonts w:cstheme="minorHAnsi"/>
              </w:rPr>
            </w:pPr>
            <w:r w:rsidRPr="00323A34">
              <w:rPr>
                <w:rFonts w:cstheme="minorHAnsi"/>
              </w:rPr>
              <w:t>4.</w:t>
            </w:r>
          </w:p>
        </w:tc>
        <w:tc>
          <w:tcPr>
            <w:tcW w:w="2037" w:type="dxa"/>
          </w:tcPr>
          <w:p w14:paraId="65153B1B" w14:textId="77777777" w:rsidR="00323A34" w:rsidRPr="00323A34" w:rsidRDefault="00323A34" w:rsidP="00254FF8">
            <w:pPr>
              <w:rPr>
                <w:rFonts w:cstheme="minorHAnsi"/>
              </w:rPr>
            </w:pPr>
            <w:r w:rsidRPr="00323A34">
              <w:rPr>
                <w:rFonts w:cstheme="minorHAnsi"/>
              </w:rPr>
              <w:t>ZŁY</w:t>
            </w:r>
          </w:p>
        </w:tc>
        <w:tc>
          <w:tcPr>
            <w:tcW w:w="1270" w:type="dxa"/>
          </w:tcPr>
          <w:p w14:paraId="7A896CEC" w14:textId="0770EAF2" w:rsidR="00323A34" w:rsidRPr="00323A34" w:rsidRDefault="00323A34" w:rsidP="00254FF8">
            <w:pPr>
              <w:jc w:val="center"/>
              <w:rPr>
                <w:rFonts w:cstheme="minorHAnsi"/>
              </w:rPr>
            </w:pPr>
            <w:r>
              <w:rPr>
                <w:rFonts w:cstheme="minorHAnsi"/>
              </w:rPr>
              <w:t>1</w:t>
            </w:r>
          </w:p>
        </w:tc>
        <w:tc>
          <w:tcPr>
            <w:tcW w:w="1417" w:type="dxa"/>
          </w:tcPr>
          <w:p w14:paraId="05248C14" w14:textId="0846D533" w:rsidR="00323A34" w:rsidRPr="00323A34" w:rsidRDefault="0041614F" w:rsidP="00254FF8">
            <w:pPr>
              <w:jc w:val="center"/>
              <w:rPr>
                <w:rFonts w:cstheme="minorHAnsi"/>
              </w:rPr>
            </w:pPr>
            <w:r>
              <w:rPr>
                <w:rFonts w:cstheme="minorHAnsi"/>
              </w:rPr>
              <w:t>0</w:t>
            </w:r>
          </w:p>
        </w:tc>
        <w:tc>
          <w:tcPr>
            <w:tcW w:w="1276" w:type="dxa"/>
          </w:tcPr>
          <w:p w14:paraId="661E95EF" w14:textId="206DC212" w:rsidR="00323A34" w:rsidRPr="00323A34" w:rsidRDefault="0041614F" w:rsidP="00254FF8">
            <w:pPr>
              <w:jc w:val="center"/>
              <w:rPr>
                <w:rFonts w:cstheme="minorHAnsi"/>
              </w:rPr>
            </w:pPr>
            <w:r>
              <w:rPr>
                <w:rFonts w:cstheme="minorHAnsi"/>
              </w:rPr>
              <w:t>0</w:t>
            </w:r>
          </w:p>
        </w:tc>
        <w:tc>
          <w:tcPr>
            <w:tcW w:w="1276" w:type="dxa"/>
          </w:tcPr>
          <w:p w14:paraId="3E6AD448" w14:textId="2DBAFD63" w:rsidR="00323A34" w:rsidRPr="00323A34" w:rsidRDefault="0041614F" w:rsidP="00254FF8">
            <w:pPr>
              <w:jc w:val="center"/>
              <w:rPr>
                <w:rFonts w:cstheme="minorHAnsi"/>
              </w:rPr>
            </w:pPr>
            <w:r>
              <w:rPr>
                <w:rFonts w:cstheme="minorHAnsi"/>
              </w:rPr>
              <w:t>0</w:t>
            </w:r>
          </w:p>
        </w:tc>
        <w:tc>
          <w:tcPr>
            <w:tcW w:w="1270" w:type="dxa"/>
          </w:tcPr>
          <w:p w14:paraId="235E9B8F" w14:textId="7997986D" w:rsidR="00323A34" w:rsidRPr="00323A34" w:rsidRDefault="0041614F" w:rsidP="00254FF8">
            <w:pPr>
              <w:jc w:val="center"/>
              <w:rPr>
                <w:rFonts w:cstheme="minorHAnsi"/>
              </w:rPr>
            </w:pPr>
            <w:r>
              <w:rPr>
                <w:rFonts w:cstheme="minorHAnsi"/>
              </w:rPr>
              <w:t>0</w:t>
            </w:r>
          </w:p>
        </w:tc>
      </w:tr>
      <w:tr w:rsidR="00323A34" w:rsidRPr="00323A34" w14:paraId="5FD8ED6C" w14:textId="77777777" w:rsidTr="00254FF8">
        <w:tc>
          <w:tcPr>
            <w:tcW w:w="516" w:type="dxa"/>
          </w:tcPr>
          <w:p w14:paraId="4DC60D3D" w14:textId="77777777" w:rsidR="00323A34" w:rsidRPr="00323A34" w:rsidRDefault="00323A34" w:rsidP="00254FF8">
            <w:pPr>
              <w:rPr>
                <w:rFonts w:cstheme="minorHAnsi"/>
              </w:rPr>
            </w:pPr>
            <w:r w:rsidRPr="00323A34">
              <w:rPr>
                <w:rFonts w:cstheme="minorHAnsi"/>
              </w:rPr>
              <w:t>5.</w:t>
            </w:r>
          </w:p>
        </w:tc>
        <w:tc>
          <w:tcPr>
            <w:tcW w:w="2037" w:type="dxa"/>
          </w:tcPr>
          <w:p w14:paraId="41F6B9FF" w14:textId="77777777" w:rsidR="00323A34" w:rsidRPr="00323A34" w:rsidRDefault="00323A34" w:rsidP="00254FF8">
            <w:pPr>
              <w:rPr>
                <w:rFonts w:cstheme="minorHAnsi"/>
              </w:rPr>
            </w:pPr>
            <w:r w:rsidRPr="00323A34">
              <w:rPr>
                <w:rFonts w:cstheme="minorHAnsi"/>
              </w:rPr>
              <w:t>AWARYJNY</w:t>
            </w:r>
          </w:p>
        </w:tc>
        <w:tc>
          <w:tcPr>
            <w:tcW w:w="1270" w:type="dxa"/>
          </w:tcPr>
          <w:p w14:paraId="314A4780" w14:textId="77777777" w:rsidR="00323A34" w:rsidRPr="00323A34" w:rsidRDefault="00323A34" w:rsidP="00254FF8">
            <w:pPr>
              <w:jc w:val="center"/>
              <w:rPr>
                <w:rFonts w:cstheme="minorHAnsi"/>
              </w:rPr>
            </w:pPr>
            <w:r w:rsidRPr="00323A34">
              <w:rPr>
                <w:rFonts w:cstheme="minorHAnsi"/>
              </w:rPr>
              <w:t>0</w:t>
            </w:r>
          </w:p>
        </w:tc>
        <w:tc>
          <w:tcPr>
            <w:tcW w:w="1417" w:type="dxa"/>
          </w:tcPr>
          <w:p w14:paraId="09A5C781" w14:textId="77777777" w:rsidR="00323A34" w:rsidRPr="00323A34" w:rsidRDefault="00323A34" w:rsidP="00254FF8">
            <w:pPr>
              <w:jc w:val="center"/>
              <w:rPr>
                <w:rFonts w:cstheme="minorHAnsi"/>
              </w:rPr>
            </w:pPr>
            <w:r w:rsidRPr="00323A34">
              <w:rPr>
                <w:rFonts w:cstheme="minorHAnsi"/>
              </w:rPr>
              <w:t>0</w:t>
            </w:r>
          </w:p>
        </w:tc>
        <w:tc>
          <w:tcPr>
            <w:tcW w:w="1276" w:type="dxa"/>
          </w:tcPr>
          <w:p w14:paraId="37E356B6" w14:textId="77777777" w:rsidR="00323A34" w:rsidRPr="00323A34" w:rsidRDefault="00323A34" w:rsidP="00254FF8">
            <w:pPr>
              <w:jc w:val="center"/>
              <w:rPr>
                <w:rFonts w:cstheme="minorHAnsi"/>
              </w:rPr>
            </w:pPr>
            <w:r w:rsidRPr="00323A34">
              <w:rPr>
                <w:rFonts w:cstheme="minorHAnsi"/>
              </w:rPr>
              <w:t>0</w:t>
            </w:r>
          </w:p>
        </w:tc>
        <w:tc>
          <w:tcPr>
            <w:tcW w:w="1276" w:type="dxa"/>
          </w:tcPr>
          <w:p w14:paraId="27825C76" w14:textId="77777777" w:rsidR="00323A34" w:rsidRPr="00323A34" w:rsidRDefault="00323A34" w:rsidP="00254FF8">
            <w:pPr>
              <w:jc w:val="center"/>
              <w:rPr>
                <w:rFonts w:cstheme="minorHAnsi"/>
              </w:rPr>
            </w:pPr>
            <w:r w:rsidRPr="00323A34">
              <w:rPr>
                <w:rFonts w:cstheme="minorHAnsi"/>
              </w:rPr>
              <w:t>0</w:t>
            </w:r>
          </w:p>
        </w:tc>
        <w:tc>
          <w:tcPr>
            <w:tcW w:w="1270" w:type="dxa"/>
          </w:tcPr>
          <w:p w14:paraId="4F21D443" w14:textId="77777777" w:rsidR="00323A34" w:rsidRPr="00323A34" w:rsidRDefault="00323A34" w:rsidP="00254FF8">
            <w:pPr>
              <w:jc w:val="center"/>
              <w:rPr>
                <w:rFonts w:cstheme="minorHAnsi"/>
              </w:rPr>
            </w:pPr>
            <w:r w:rsidRPr="00323A34">
              <w:rPr>
                <w:rFonts w:cstheme="minorHAnsi"/>
              </w:rPr>
              <w:t>0</w:t>
            </w:r>
          </w:p>
        </w:tc>
      </w:tr>
    </w:tbl>
    <w:p w14:paraId="52677497" w14:textId="77777777" w:rsidR="004841DF" w:rsidRDefault="004841DF" w:rsidP="004841DF">
      <w:pPr>
        <w:pStyle w:val="Akapitzlist"/>
        <w:jc w:val="both"/>
        <w:rPr>
          <w:rFonts w:cstheme="minorHAnsi"/>
        </w:rPr>
      </w:pPr>
    </w:p>
    <w:p w14:paraId="3936C3AE" w14:textId="00B73A45" w:rsidR="00BE7302" w:rsidRPr="000F6440" w:rsidRDefault="00B4074C" w:rsidP="000F6440">
      <w:pPr>
        <w:jc w:val="both"/>
        <w:rPr>
          <w:rFonts w:cstheme="minorHAnsi"/>
        </w:rPr>
      </w:pPr>
      <w:r w:rsidRPr="00F45C4D">
        <w:rPr>
          <w:rFonts w:cstheme="minorHAnsi"/>
        </w:rPr>
        <w:t>4</w:t>
      </w:r>
      <w:r w:rsidR="000F6440" w:rsidRPr="00F45C4D">
        <w:rPr>
          <w:rFonts w:cstheme="minorHAnsi"/>
        </w:rPr>
        <w:t>.</w:t>
      </w:r>
      <w:r w:rsidR="000F6440">
        <w:rPr>
          <w:rFonts w:cstheme="minorHAnsi"/>
        </w:rPr>
        <w:t xml:space="preserve"> </w:t>
      </w:r>
      <w:r w:rsidR="00BE7302" w:rsidRPr="000F6440">
        <w:rPr>
          <w:rFonts w:cstheme="minorHAnsi"/>
        </w:rPr>
        <w:t>Realizacja prac remontowych w budynkach i lokalach stanowiących mieszkaniowy zasób Gminy Komorniki wynika z konieczności utrzymania stanu technicznego budynków i lokali</w:t>
      </w:r>
      <w:r w:rsidR="007171D4" w:rsidRPr="000F6440">
        <w:rPr>
          <w:rFonts w:cstheme="minorHAnsi"/>
        </w:rPr>
        <w:t xml:space="preserve"> w stanie niepogorszonym</w:t>
      </w:r>
      <w:r w:rsidR="00BE7302" w:rsidRPr="000F6440">
        <w:rPr>
          <w:rFonts w:cstheme="minorHAnsi"/>
        </w:rPr>
        <w:t>, zapewniającego bezpieczeństwo dla ludzi w trakcie ich użytkowania oraz mienia</w:t>
      </w:r>
      <w:r w:rsidR="00821F75" w:rsidRPr="000F6440">
        <w:rPr>
          <w:rFonts w:cstheme="minorHAnsi"/>
        </w:rPr>
        <w:t xml:space="preserve">, zgodnie z przepisami prawa budowlanego oraz </w:t>
      </w:r>
      <w:r w:rsidR="00856F91" w:rsidRPr="000F6440">
        <w:rPr>
          <w:rFonts w:cstheme="minorHAnsi"/>
        </w:rPr>
        <w:t>przepisami techniczno-budowlanymi.</w:t>
      </w:r>
      <w:r w:rsidR="00BE7302" w:rsidRPr="000F6440">
        <w:rPr>
          <w:rFonts w:cstheme="minorHAnsi"/>
        </w:rPr>
        <w:t xml:space="preserve"> </w:t>
      </w:r>
    </w:p>
    <w:p w14:paraId="3695BA7F" w14:textId="77B0E8ED" w:rsidR="00BE7302" w:rsidRPr="000F6440" w:rsidRDefault="00B4074C" w:rsidP="000F6440">
      <w:pPr>
        <w:jc w:val="both"/>
        <w:rPr>
          <w:rFonts w:cstheme="minorHAnsi"/>
        </w:rPr>
      </w:pPr>
      <w:r w:rsidRPr="00F45C4D">
        <w:rPr>
          <w:rFonts w:cstheme="minorHAnsi"/>
        </w:rPr>
        <w:t>5</w:t>
      </w:r>
      <w:r w:rsidR="000F6440" w:rsidRPr="00F45C4D">
        <w:rPr>
          <w:rFonts w:cstheme="minorHAnsi"/>
        </w:rPr>
        <w:t>.</w:t>
      </w:r>
      <w:r w:rsidR="000F6440">
        <w:rPr>
          <w:rFonts w:cstheme="minorHAnsi"/>
        </w:rPr>
        <w:t xml:space="preserve"> </w:t>
      </w:r>
      <w:r w:rsidR="00BE7302" w:rsidRPr="000F6440">
        <w:rPr>
          <w:rFonts w:cstheme="minorHAnsi"/>
        </w:rPr>
        <w:t xml:space="preserve">Zgodnie z wyżej przedstawionymi danymi zdecydowana większość budynków i lokali wchodzących w skład mieszkaniowego zasobu Gminy Komorniki charakteryzuje się jako dobra i zadowalająca pod względem technicznym, zatem gmina planuje realizować bieżące remonty i regularnie usuwać wszystkie usterki i awarie tak, aby ten stan utrzymać. </w:t>
      </w:r>
      <w:r w:rsidR="00821F75" w:rsidRPr="000F6440">
        <w:rPr>
          <w:rFonts w:cstheme="minorHAnsi"/>
        </w:rPr>
        <w:t xml:space="preserve">Celem gminy jest dążenie do poprawy warunków mieszkaniowych zamieszkujących w nich lokatorów. </w:t>
      </w:r>
    </w:p>
    <w:p w14:paraId="3E873D37" w14:textId="0097463B" w:rsidR="00BE7302" w:rsidRDefault="00B4074C" w:rsidP="007561E1">
      <w:pPr>
        <w:contextualSpacing/>
        <w:jc w:val="both"/>
      </w:pPr>
      <w:r w:rsidRPr="00F45C4D">
        <w:t>6.</w:t>
      </w:r>
      <w:r>
        <w:t xml:space="preserve"> </w:t>
      </w:r>
      <w:r w:rsidR="00BE7302">
        <w:t>Ze względu na średni stan techniczny, a biorąc pod uwagę także estetykę zewnętrzną budynku, która została sk</w:t>
      </w:r>
      <w:r w:rsidR="00AE7C57">
        <w:t>la</w:t>
      </w:r>
      <w:r w:rsidR="00BE7302">
        <w:t>syfikowana jako zła dwa budynki w zasobie mieszkaniowym Gminy Komorniki w kolejnych latach będą kierowane do wyłączenia z użytkowan</w:t>
      </w:r>
      <w:r w:rsidR="003339A9">
        <w:t>i</w:t>
      </w:r>
      <w:r w:rsidR="00BE7302">
        <w:t>a oraz docelowo wyburzenia.</w:t>
      </w:r>
      <w:r w:rsidR="008B6862">
        <w:t xml:space="preserve"> W pierwszej kolejności </w:t>
      </w:r>
      <w:r w:rsidR="008B6862">
        <w:lastRenderedPageBreak/>
        <w:t xml:space="preserve">prognozuje się wyłączenie z użytkowania i wyburzenie budynku mieszkalnego położonego w Plewiskach przy ul. Szkolnej 155, w następnej kolejności budynek mieszkalny położony w Plewiskach przy ul. </w:t>
      </w:r>
      <w:r w:rsidR="00EF4357">
        <w:t> S</w:t>
      </w:r>
      <w:r w:rsidR="008B6862">
        <w:t>zkolnej 149.</w:t>
      </w:r>
      <w:r w:rsidR="00BE7302">
        <w:t xml:space="preserve"> Ponadto budynek jednorodzinny</w:t>
      </w:r>
      <w:r w:rsidR="003339A9">
        <w:t>,</w:t>
      </w:r>
      <w:r w:rsidR="00BE7302">
        <w:t xml:space="preserve"> położony w Wirach</w:t>
      </w:r>
      <w:r w:rsidR="008B6862">
        <w:t xml:space="preserve"> przy ul. Podleśnej 1</w:t>
      </w:r>
      <w:r w:rsidR="00BE7302">
        <w:t xml:space="preserve">, oceniany pod względem technicznym jako zły został </w:t>
      </w:r>
      <w:r w:rsidR="008B6862">
        <w:t>już</w:t>
      </w:r>
      <w:r w:rsidR="00BE7302">
        <w:t xml:space="preserve"> wyłączony </w:t>
      </w:r>
      <w:r w:rsidR="003339A9">
        <w:t>z</w:t>
      </w:r>
      <w:r w:rsidR="00BE7302">
        <w:t xml:space="preserve"> użytkowania </w:t>
      </w:r>
      <w:r w:rsidR="003339A9">
        <w:t>i planowane jest jego wyburzenie w najbliższym czasie.</w:t>
      </w:r>
    </w:p>
    <w:p w14:paraId="229BA277" w14:textId="77777777" w:rsidR="00AE7C57" w:rsidRDefault="00AE7C57" w:rsidP="007561E1">
      <w:pPr>
        <w:contextualSpacing/>
        <w:jc w:val="both"/>
      </w:pPr>
    </w:p>
    <w:p w14:paraId="5EBA508E" w14:textId="7F4B2C1D" w:rsidR="00AE7C57" w:rsidRPr="00B4074C" w:rsidRDefault="00AE7C57" w:rsidP="007561E1">
      <w:pPr>
        <w:contextualSpacing/>
        <w:jc w:val="both"/>
        <w:rPr>
          <w:rFonts w:cstheme="minorHAnsi"/>
        </w:rPr>
      </w:pPr>
      <w:r w:rsidRPr="00F45C4D">
        <w:rPr>
          <w:rFonts w:cstheme="minorHAnsi"/>
        </w:rPr>
        <w:t>7.</w:t>
      </w:r>
      <w:r>
        <w:rPr>
          <w:rFonts w:cstheme="minorHAnsi"/>
        </w:rPr>
        <w:t xml:space="preserve"> </w:t>
      </w:r>
      <w:r w:rsidRPr="00AE7C57">
        <w:rPr>
          <w:rFonts w:cstheme="minorHAnsi"/>
        </w:rPr>
        <w:t>Prognoza potrzeb remontowych zasobu mieszkaniowego Gminy Komorniki przedstawiona jest w poniższej tabeli</w:t>
      </w:r>
      <w:r>
        <w:rPr>
          <w:rFonts w:cstheme="minorHAnsi"/>
        </w:rPr>
        <w:t>.</w:t>
      </w:r>
    </w:p>
    <w:tbl>
      <w:tblPr>
        <w:tblStyle w:val="Tabela-Siatka"/>
        <w:tblW w:w="5000" w:type="pct"/>
        <w:tblLook w:val="04A0" w:firstRow="1" w:lastRow="0" w:firstColumn="1" w:lastColumn="0" w:noHBand="0" w:noVBand="1"/>
      </w:tblPr>
      <w:tblGrid>
        <w:gridCol w:w="667"/>
        <w:gridCol w:w="2162"/>
        <w:gridCol w:w="1245"/>
        <w:gridCol w:w="1247"/>
        <w:gridCol w:w="1245"/>
        <w:gridCol w:w="1247"/>
        <w:gridCol w:w="1249"/>
      </w:tblGrid>
      <w:tr w:rsidR="00AE7C57" w:rsidRPr="00AE7C57" w14:paraId="06378502" w14:textId="77777777" w:rsidTr="00AE7C57">
        <w:tc>
          <w:tcPr>
            <w:tcW w:w="368" w:type="pct"/>
            <w:vMerge w:val="restart"/>
            <w:vAlign w:val="center"/>
          </w:tcPr>
          <w:p w14:paraId="5AC2A4AB" w14:textId="6310425C" w:rsidR="00AE7C57" w:rsidRPr="00AE7C57" w:rsidRDefault="00AE7C57" w:rsidP="005B73BD">
            <w:pPr>
              <w:pStyle w:val="Akapitzlist"/>
              <w:ind w:left="0"/>
              <w:jc w:val="center"/>
              <w:rPr>
                <w:rFonts w:cstheme="minorHAnsi"/>
                <w:b/>
              </w:rPr>
            </w:pPr>
            <w:r w:rsidRPr="00AE7C57">
              <w:rPr>
                <w:rFonts w:cstheme="minorHAnsi"/>
                <w:b/>
              </w:rPr>
              <w:t>Lp</w:t>
            </w:r>
            <w:r>
              <w:rPr>
                <w:rFonts w:cstheme="minorHAnsi"/>
                <w:b/>
              </w:rPr>
              <w:t>.</w:t>
            </w:r>
          </w:p>
        </w:tc>
        <w:tc>
          <w:tcPr>
            <w:tcW w:w="1193" w:type="pct"/>
            <w:vMerge w:val="restart"/>
            <w:vAlign w:val="center"/>
          </w:tcPr>
          <w:p w14:paraId="78342961" w14:textId="77777777" w:rsidR="00AE7C57" w:rsidRPr="00AE7C57" w:rsidRDefault="00AE7C57" w:rsidP="005B73BD">
            <w:pPr>
              <w:pStyle w:val="Akapitzlist"/>
              <w:ind w:left="0"/>
              <w:jc w:val="center"/>
              <w:rPr>
                <w:rFonts w:cstheme="minorHAnsi"/>
                <w:b/>
              </w:rPr>
            </w:pPr>
            <w:r w:rsidRPr="00AE7C57">
              <w:rPr>
                <w:rFonts w:cstheme="minorHAnsi"/>
                <w:b/>
              </w:rPr>
              <w:t>Zakres robót</w:t>
            </w:r>
          </w:p>
        </w:tc>
        <w:tc>
          <w:tcPr>
            <w:tcW w:w="3439" w:type="pct"/>
            <w:gridSpan w:val="5"/>
          </w:tcPr>
          <w:p w14:paraId="042478B6" w14:textId="1DB34C7E" w:rsidR="00AE7C57" w:rsidRPr="00AE7C57" w:rsidRDefault="00AE7C57" w:rsidP="005B73BD">
            <w:pPr>
              <w:pStyle w:val="Akapitzlist"/>
              <w:ind w:left="0"/>
              <w:jc w:val="center"/>
              <w:rPr>
                <w:rFonts w:cstheme="minorHAnsi"/>
                <w:b/>
              </w:rPr>
            </w:pPr>
            <w:r w:rsidRPr="00AE7C57">
              <w:rPr>
                <w:rFonts w:cstheme="minorHAnsi"/>
                <w:b/>
              </w:rPr>
              <w:t xml:space="preserve">Wydatki w poszczególnych latach </w:t>
            </w:r>
            <w:r>
              <w:rPr>
                <w:rFonts w:cstheme="minorHAnsi"/>
                <w:b/>
              </w:rPr>
              <w:t>(</w:t>
            </w:r>
            <w:r w:rsidRPr="00AE7C57">
              <w:rPr>
                <w:rFonts w:cstheme="minorHAnsi"/>
                <w:b/>
              </w:rPr>
              <w:t>zł</w:t>
            </w:r>
            <w:r>
              <w:rPr>
                <w:rFonts w:cstheme="minorHAnsi"/>
                <w:b/>
              </w:rPr>
              <w:t>)</w:t>
            </w:r>
          </w:p>
        </w:tc>
      </w:tr>
      <w:tr w:rsidR="00AE7C57" w:rsidRPr="00AE7C57" w14:paraId="1F467AB6" w14:textId="77777777" w:rsidTr="005B73BD">
        <w:tc>
          <w:tcPr>
            <w:tcW w:w="368" w:type="pct"/>
            <w:vMerge/>
          </w:tcPr>
          <w:p w14:paraId="1AF65B9F" w14:textId="77777777" w:rsidR="00AE7C57" w:rsidRPr="00AE7C57" w:rsidRDefault="00AE7C57" w:rsidP="005B73BD">
            <w:pPr>
              <w:pStyle w:val="Akapitzlist"/>
              <w:ind w:left="0"/>
              <w:jc w:val="center"/>
              <w:rPr>
                <w:rFonts w:cstheme="minorHAnsi"/>
                <w:b/>
              </w:rPr>
            </w:pPr>
          </w:p>
        </w:tc>
        <w:tc>
          <w:tcPr>
            <w:tcW w:w="1193" w:type="pct"/>
            <w:vMerge/>
          </w:tcPr>
          <w:p w14:paraId="78259795" w14:textId="77777777" w:rsidR="00AE7C57" w:rsidRPr="00AE7C57" w:rsidRDefault="00AE7C57" w:rsidP="005B73BD">
            <w:pPr>
              <w:pStyle w:val="Akapitzlist"/>
              <w:ind w:left="0"/>
              <w:jc w:val="center"/>
              <w:rPr>
                <w:rFonts w:cstheme="minorHAnsi"/>
                <w:b/>
              </w:rPr>
            </w:pPr>
          </w:p>
        </w:tc>
        <w:tc>
          <w:tcPr>
            <w:tcW w:w="687" w:type="pct"/>
          </w:tcPr>
          <w:p w14:paraId="55353181" w14:textId="0C873F4B" w:rsidR="00AE7C57" w:rsidRPr="00AE7C57" w:rsidRDefault="00AE7C57" w:rsidP="005B73BD">
            <w:pPr>
              <w:pStyle w:val="Akapitzlist"/>
              <w:ind w:left="0"/>
              <w:jc w:val="center"/>
              <w:rPr>
                <w:rFonts w:cstheme="minorHAnsi"/>
                <w:b/>
              </w:rPr>
            </w:pPr>
            <w:r w:rsidRPr="00AE7C57">
              <w:rPr>
                <w:rFonts w:cstheme="minorHAnsi"/>
                <w:b/>
              </w:rPr>
              <w:t>202</w:t>
            </w:r>
            <w:r>
              <w:rPr>
                <w:rFonts w:cstheme="minorHAnsi"/>
                <w:b/>
              </w:rPr>
              <w:t>5</w:t>
            </w:r>
            <w:r w:rsidRPr="00AE7C57">
              <w:rPr>
                <w:rFonts w:cstheme="minorHAnsi"/>
                <w:b/>
              </w:rPr>
              <w:t xml:space="preserve"> r.</w:t>
            </w:r>
          </w:p>
        </w:tc>
        <w:tc>
          <w:tcPr>
            <w:tcW w:w="688" w:type="pct"/>
          </w:tcPr>
          <w:p w14:paraId="74B8FDCC" w14:textId="32451C54" w:rsidR="00AE7C57" w:rsidRPr="00AE7C57" w:rsidRDefault="00AE7C57" w:rsidP="005B73BD">
            <w:pPr>
              <w:pStyle w:val="Akapitzlist"/>
              <w:ind w:left="0"/>
              <w:jc w:val="center"/>
              <w:rPr>
                <w:rFonts w:cstheme="minorHAnsi"/>
                <w:b/>
              </w:rPr>
            </w:pPr>
            <w:r w:rsidRPr="00AE7C57">
              <w:rPr>
                <w:rFonts w:cstheme="minorHAnsi"/>
                <w:b/>
              </w:rPr>
              <w:t>202</w:t>
            </w:r>
            <w:r>
              <w:rPr>
                <w:rFonts w:cstheme="minorHAnsi"/>
                <w:b/>
              </w:rPr>
              <w:t>6</w:t>
            </w:r>
            <w:r w:rsidRPr="00AE7C57">
              <w:rPr>
                <w:rFonts w:cstheme="minorHAnsi"/>
                <w:b/>
              </w:rPr>
              <w:t xml:space="preserve"> r.</w:t>
            </w:r>
          </w:p>
        </w:tc>
        <w:tc>
          <w:tcPr>
            <w:tcW w:w="687" w:type="pct"/>
          </w:tcPr>
          <w:p w14:paraId="77ED7670" w14:textId="1B856521" w:rsidR="00AE7C57" w:rsidRPr="00AE7C57" w:rsidRDefault="00AE7C57" w:rsidP="005B73BD">
            <w:pPr>
              <w:pStyle w:val="Akapitzlist"/>
              <w:ind w:left="0"/>
              <w:jc w:val="center"/>
              <w:rPr>
                <w:rFonts w:cstheme="minorHAnsi"/>
                <w:b/>
              </w:rPr>
            </w:pPr>
            <w:r w:rsidRPr="00AE7C57">
              <w:rPr>
                <w:rFonts w:cstheme="minorHAnsi"/>
                <w:b/>
              </w:rPr>
              <w:t>202</w:t>
            </w:r>
            <w:r>
              <w:rPr>
                <w:rFonts w:cstheme="minorHAnsi"/>
                <w:b/>
              </w:rPr>
              <w:t>7</w:t>
            </w:r>
            <w:r w:rsidRPr="00AE7C57">
              <w:rPr>
                <w:rFonts w:cstheme="minorHAnsi"/>
                <w:b/>
              </w:rPr>
              <w:t xml:space="preserve"> r.</w:t>
            </w:r>
          </w:p>
        </w:tc>
        <w:tc>
          <w:tcPr>
            <w:tcW w:w="688" w:type="pct"/>
          </w:tcPr>
          <w:p w14:paraId="6BE5A64A" w14:textId="0501BA7D" w:rsidR="00AE7C57" w:rsidRPr="00AE7C57" w:rsidRDefault="00AE7C57" w:rsidP="005B73BD">
            <w:pPr>
              <w:pStyle w:val="Akapitzlist"/>
              <w:ind w:left="0"/>
              <w:jc w:val="center"/>
              <w:rPr>
                <w:rFonts w:cstheme="minorHAnsi"/>
                <w:b/>
              </w:rPr>
            </w:pPr>
            <w:r w:rsidRPr="00AE7C57">
              <w:rPr>
                <w:rFonts w:cstheme="minorHAnsi"/>
                <w:b/>
              </w:rPr>
              <w:t>202</w:t>
            </w:r>
            <w:r>
              <w:rPr>
                <w:rFonts w:cstheme="minorHAnsi"/>
                <w:b/>
              </w:rPr>
              <w:t>8</w:t>
            </w:r>
            <w:r w:rsidRPr="00AE7C57">
              <w:rPr>
                <w:rFonts w:cstheme="minorHAnsi"/>
                <w:b/>
              </w:rPr>
              <w:t xml:space="preserve"> r.</w:t>
            </w:r>
          </w:p>
        </w:tc>
        <w:tc>
          <w:tcPr>
            <w:tcW w:w="689" w:type="pct"/>
          </w:tcPr>
          <w:p w14:paraId="64294B9C" w14:textId="7A6DB7E1" w:rsidR="00AE7C57" w:rsidRPr="00AE7C57" w:rsidRDefault="00AE7C57" w:rsidP="005B73BD">
            <w:pPr>
              <w:pStyle w:val="Akapitzlist"/>
              <w:ind w:left="0"/>
              <w:jc w:val="center"/>
              <w:rPr>
                <w:rFonts w:cstheme="minorHAnsi"/>
                <w:b/>
              </w:rPr>
            </w:pPr>
            <w:r w:rsidRPr="00AE7C57">
              <w:rPr>
                <w:rFonts w:cstheme="minorHAnsi"/>
                <w:b/>
              </w:rPr>
              <w:t>202</w:t>
            </w:r>
            <w:r>
              <w:rPr>
                <w:rFonts w:cstheme="minorHAnsi"/>
                <w:b/>
              </w:rPr>
              <w:t>9j</w:t>
            </w:r>
            <w:r w:rsidRPr="00AE7C57">
              <w:rPr>
                <w:rFonts w:cstheme="minorHAnsi"/>
                <w:b/>
              </w:rPr>
              <w:t xml:space="preserve"> r.</w:t>
            </w:r>
          </w:p>
        </w:tc>
      </w:tr>
      <w:tr w:rsidR="00AE7C57" w:rsidRPr="00AE7C57" w14:paraId="18DA65C4" w14:textId="77777777" w:rsidTr="00B4074C">
        <w:tc>
          <w:tcPr>
            <w:tcW w:w="368" w:type="pct"/>
            <w:vAlign w:val="center"/>
          </w:tcPr>
          <w:p w14:paraId="6DDE6631" w14:textId="77777777" w:rsidR="00AE7C57" w:rsidRPr="00AE7C57" w:rsidRDefault="00AE7C57" w:rsidP="005B73BD">
            <w:pPr>
              <w:pStyle w:val="Akapitzlist"/>
              <w:ind w:left="0"/>
              <w:jc w:val="center"/>
              <w:rPr>
                <w:rFonts w:cstheme="minorHAnsi"/>
              </w:rPr>
            </w:pPr>
            <w:r w:rsidRPr="00AE7C57">
              <w:rPr>
                <w:rFonts w:cstheme="minorHAnsi"/>
              </w:rPr>
              <w:t>1</w:t>
            </w:r>
          </w:p>
        </w:tc>
        <w:tc>
          <w:tcPr>
            <w:tcW w:w="1193" w:type="pct"/>
            <w:vAlign w:val="center"/>
          </w:tcPr>
          <w:p w14:paraId="080349FC" w14:textId="50F86550" w:rsidR="00AE7C57" w:rsidRPr="00AE7C57" w:rsidRDefault="00AE7C57" w:rsidP="005B73BD">
            <w:pPr>
              <w:pStyle w:val="Akapitzlist"/>
              <w:ind w:left="0"/>
              <w:jc w:val="both"/>
              <w:rPr>
                <w:rFonts w:cstheme="minorHAnsi"/>
              </w:rPr>
            </w:pPr>
            <w:r w:rsidRPr="00AE7C57">
              <w:rPr>
                <w:rFonts w:cstheme="minorHAnsi"/>
              </w:rPr>
              <w:t xml:space="preserve">Remonty </w:t>
            </w:r>
            <w:r w:rsidR="0042126A">
              <w:rPr>
                <w:rFonts w:cstheme="minorHAnsi"/>
              </w:rPr>
              <w:t xml:space="preserve">lokali i </w:t>
            </w:r>
            <w:r w:rsidRPr="00AE7C57">
              <w:rPr>
                <w:rFonts w:cstheme="minorHAnsi"/>
              </w:rPr>
              <w:t>budynków komunalnych (</w:t>
            </w:r>
            <w:r w:rsidR="00924833">
              <w:rPr>
                <w:rFonts w:cstheme="minorHAnsi"/>
              </w:rPr>
              <w:t xml:space="preserve">remonty </w:t>
            </w:r>
            <w:r w:rsidRPr="00AE7C57">
              <w:rPr>
                <w:rFonts w:cstheme="minorHAnsi"/>
              </w:rPr>
              <w:t>elewacj</w:t>
            </w:r>
            <w:r w:rsidR="00924833">
              <w:rPr>
                <w:rFonts w:cstheme="minorHAnsi"/>
              </w:rPr>
              <w:t>i</w:t>
            </w:r>
            <w:r w:rsidRPr="00AE7C57">
              <w:rPr>
                <w:rFonts w:cstheme="minorHAnsi"/>
              </w:rPr>
              <w:t>, dach</w:t>
            </w:r>
            <w:r w:rsidR="00924833">
              <w:rPr>
                <w:rFonts w:cstheme="minorHAnsi"/>
              </w:rPr>
              <w:t>ów</w:t>
            </w:r>
            <w:r w:rsidRPr="00AE7C57">
              <w:rPr>
                <w:rFonts w:cstheme="minorHAnsi"/>
              </w:rPr>
              <w:t>, komin</w:t>
            </w:r>
            <w:r w:rsidR="00924833">
              <w:rPr>
                <w:rFonts w:cstheme="minorHAnsi"/>
              </w:rPr>
              <w:t>ów, klatek schodowych; roboty instalacyjne; wymiana stolarki okiennej i drzwiowej; odnawianie lokali</w:t>
            </w:r>
            <w:r w:rsidRPr="00AE7C57">
              <w:rPr>
                <w:rFonts w:cstheme="minorHAnsi"/>
              </w:rPr>
              <w:t>)</w:t>
            </w:r>
          </w:p>
        </w:tc>
        <w:tc>
          <w:tcPr>
            <w:tcW w:w="687" w:type="pct"/>
            <w:vAlign w:val="center"/>
          </w:tcPr>
          <w:p w14:paraId="0139F67B" w14:textId="153CC8F7" w:rsidR="00AE7C57" w:rsidRPr="00AE7C57" w:rsidRDefault="00924833" w:rsidP="005B73BD">
            <w:pPr>
              <w:pStyle w:val="Akapitzlist"/>
              <w:ind w:left="0"/>
              <w:jc w:val="center"/>
              <w:rPr>
                <w:rFonts w:cstheme="minorHAnsi"/>
              </w:rPr>
            </w:pPr>
            <w:r>
              <w:rPr>
                <w:rFonts w:cstheme="minorHAnsi"/>
              </w:rPr>
              <w:t>200 000,00</w:t>
            </w:r>
          </w:p>
        </w:tc>
        <w:tc>
          <w:tcPr>
            <w:tcW w:w="688" w:type="pct"/>
            <w:vAlign w:val="center"/>
          </w:tcPr>
          <w:p w14:paraId="27B18D6C" w14:textId="09C01535" w:rsidR="00AE7C57" w:rsidRPr="00AE7C57" w:rsidRDefault="00924833" w:rsidP="005B73BD">
            <w:pPr>
              <w:pStyle w:val="Akapitzlist"/>
              <w:ind w:left="0"/>
              <w:jc w:val="center"/>
              <w:rPr>
                <w:rFonts w:cstheme="minorHAnsi"/>
              </w:rPr>
            </w:pPr>
            <w:r>
              <w:rPr>
                <w:rFonts w:cstheme="minorHAnsi"/>
              </w:rPr>
              <w:t>200 000,00</w:t>
            </w:r>
          </w:p>
        </w:tc>
        <w:tc>
          <w:tcPr>
            <w:tcW w:w="687" w:type="pct"/>
            <w:vAlign w:val="center"/>
          </w:tcPr>
          <w:p w14:paraId="618B3FAD" w14:textId="28FA583D" w:rsidR="00AE7C57" w:rsidRPr="00AE7C57" w:rsidRDefault="00924833" w:rsidP="005B73BD">
            <w:pPr>
              <w:pStyle w:val="Akapitzlist"/>
              <w:ind w:left="0"/>
              <w:jc w:val="center"/>
              <w:rPr>
                <w:rFonts w:cstheme="minorHAnsi"/>
              </w:rPr>
            </w:pPr>
            <w:r>
              <w:rPr>
                <w:rFonts w:cstheme="minorHAnsi"/>
              </w:rPr>
              <w:t>200 000,00</w:t>
            </w:r>
          </w:p>
        </w:tc>
        <w:tc>
          <w:tcPr>
            <w:tcW w:w="688" w:type="pct"/>
            <w:vAlign w:val="center"/>
          </w:tcPr>
          <w:p w14:paraId="3616B437" w14:textId="2717E8AA" w:rsidR="00AE7C57" w:rsidRPr="00AE7C57" w:rsidRDefault="00924833" w:rsidP="005B73BD">
            <w:pPr>
              <w:pStyle w:val="Akapitzlist"/>
              <w:ind w:left="0"/>
              <w:jc w:val="center"/>
              <w:rPr>
                <w:rFonts w:cstheme="minorHAnsi"/>
              </w:rPr>
            </w:pPr>
            <w:r>
              <w:rPr>
                <w:rFonts w:cstheme="minorHAnsi"/>
              </w:rPr>
              <w:t>200 000,00</w:t>
            </w:r>
          </w:p>
        </w:tc>
        <w:tc>
          <w:tcPr>
            <w:tcW w:w="689" w:type="pct"/>
            <w:vAlign w:val="center"/>
          </w:tcPr>
          <w:p w14:paraId="200C7467" w14:textId="5B4586B1" w:rsidR="00AE7C57" w:rsidRPr="00AE7C57" w:rsidRDefault="00924833" w:rsidP="005B73BD">
            <w:pPr>
              <w:pStyle w:val="Akapitzlist"/>
              <w:ind w:left="0"/>
              <w:jc w:val="center"/>
              <w:rPr>
                <w:rFonts w:cstheme="minorHAnsi"/>
              </w:rPr>
            </w:pPr>
            <w:r>
              <w:rPr>
                <w:rFonts w:cstheme="minorHAnsi"/>
              </w:rPr>
              <w:t>200 000,00</w:t>
            </w:r>
          </w:p>
        </w:tc>
      </w:tr>
      <w:tr w:rsidR="00AE7C57" w:rsidRPr="00AE7C57" w14:paraId="51416726" w14:textId="77777777" w:rsidTr="00924833">
        <w:trPr>
          <w:trHeight w:val="953"/>
        </w:trPr>
        <w:tc>
          <w:tcPr>
            <w:tcW w:w="368" w:type="pct"/>
            <w:vAlign w:val="center"/>
          </w:tcPr>
          <w:p w14:paraId="0D7EDB96" w14:textId="77777777" w:rsidR="00AE7C57" w:rsidRPr="00AE7C57" w:rsidRDefault="00AE7C57" w:rsidP="005B73BD">
            <w:pPr>
              <w:pStyle w:val="Akapitzlist"/>
              <w:ind w:left="0"/>
              <w:jc w:val="center"/>
              <w:rPr>
                <w:rFonts w:cstheme="minorHAnsi"/>
              </w:rPr>
            </w:pPr>
            <w:r w:rsidRPr="00AE7C57">
              <w:rPr>
                <w:rFonts w:cstheme="minorHAnsi"/>
              </w:rPr>
              <w:t>2</w:t>
            </w:r>
          </w:p>
        </w:tc>
        <w:tc>
          <w:tcPr>
            <w:tcW w:w="1193" w:type="pct"/>
            <w:vAlign w:val="center"/>
          </w:tcPr>
          <w:p w14:paraId="56BAB2A0" w14:textId="4D5A9068" w:rsidR="00AE7C57" w:rsidRPr="00AE7C57" w:rsidRDefault="00924833" w:rsidP="005B73BD">
            <w:pPr>
              <w:pStyle w:val="Akapitzlist"/>
              <w:ind w:left="0"/>
              <w:jc w:val="both"/>
              <w:rPr>
                <w:rFonts w:cstheme="minorHAnsi"/>
              </w:rPr>
            </w:pPr>
            <w:r>
              <w:rPr>
                <w:rFonts w:cstheme="minorHAnsi"/>
              </w:rPr>
              <w:t>Awarie</w:t>
            </w:r>
          </w:p>
        </w:tc>
        <w:tc>
          <w:tcPr>
            <w:tcW w:w="687" w:type="pct"/>
            <w:vAlign w:val="center"/>
          </w:tcPr>
          <w:p w14:paraId="5363999D" w14:textId="0A1CF640" w:rsidR="00AE7C57" w:rsidRPr="00AE7C57" w:rsidRDefault="00924833" w:rsidP="005B73BD">
            <w:pPr>
              <w:pStyle w:val="Akapitzlist"/>
              <w:ind w:left="0"/>
              <w:jc w:val="center"/>
              <w:rPr>
                <w:rFonts w:cstheme="minorHAnsi"/>
              </w:rPr>
            </w:pPr>
            <w:r>
              <w:rPr>
                <w:rFonts w:cstheme="minorHAnsi"/>
              </w:rPr>
              <w:t>50 000,00</w:t>
            </w:r>
          </w:p>
        </w:tc>
        <w:tc>
          <w:tcPr>
            <w:tcW w:w="688" w:type="pct"/>
            <w:vAlign w:val="center"/>
          </w:tcPr>
          <w:p w14:paraId="2F08EEAF" w14:textId="521D4788" w:rsidR="00AE7C57" w:rsidRPr="00AE7C57" w:rsidRDefault="00924833" w:rsidP="005B73BD">
            <w:pPr>
              <w:pStyle w:val="Akapitzlist"/>
              <w:ind w:left="0"/>
              <w:jc w:val="center"/>
              <w:rPr>
                <w:rFonts w:cstheme="minorHAnsi"/>
              </w:rPr>
            </w:pPr>
            <w:r>
              <w:rPr>
                <w:rFonts w:cstheme="minorHAnsi"/>
              </w:rPr>
              <w:t>55 000,00</w:t>
            </w:r>
          </w:p>
        </w:tc>
        <w:tc>
          <w:tcPr>
            <w:tcW w:w="687" w:type="pct"/>
            <w:vAlign w:val="center"/>
          </w:tcPr>
          <w:p w14:paraId="04B97077" w14:textId="619F6F51" w:rsidR="00AE7C57" w:rsidRPr="00AE7C57" w:rsidRDefault="00924833" w:rsidP="005B73BD">
            <w:pPr>
              <w:pStyle w:val="Akapitzlist"/>
              <w:ind w:left="0"/>
              <w:jc w:val="center"/>
              <w:rPr>
                <w:rFonts w:cstheme="minorHAnsi"/>
              </w:rPr>
            </w:pPr>
            <w:r>
              <w:rPr>
                <w:rFonts w:cstheme="minorHAnsi"/>
              </w:rPr>
              <w:t>60 000,00</w:t>
            </w:r>
          </w:p>
        </w:tc>
        <w:tc>
          <w:tcPr>
            <w:tcW w:w="688" w:type="pct"/>
            <w:vAlign w:val="center"/>
          </w:tcPr>
          <w:p w14:paraId="591C443E" w14:textId="0E232858" w:rsidR="00AE7C57" w:rsidRPr="00AE7C57" w:rsidRDefault="00924833" w:rsidP="005B73BD">
            <w:pPr>
              <w:pStyle w:val="Akapitzlist"/>
              <w:ind w:left="0"/>
              <w:jc w:val="center"/>
              <w:rPr>
                <w:rFonts w:cstheme="minorHAnsi"/>
              </w:rPr>
            </w:pPr>
            <w:r>
              <w:rPr>
                <w:rFonts w:cstheme="minorHAnsi"/>
              </w:rPr>
              <w:t>65 000,00</w:t>
            </w:r>
          </w:p>
        </w:tc>
        <w:tc>
          <w:tcPr>
            <w:tcW w:w="689" w:type="pct"/>
            <w:vAlign w:val="center"/>
          </w:tcPr>
          <w:p w14:paraId="2C72F583" w14:textId="561F0B11" w:rsidR="00AE7C57" w:rsidRPr="00AE7C57" w:rsidRDefault="00924833" w:rsidP="005B73BD">
            <w:pPr>
              <w:pStyle w:val="Akapitzlist"/>
              <w:ind w:left="0"/>
              <w:jc w:val="center"/>
              <w:rPr>
                <w:rFonts w:cstheme="minorHAnsi"/>
              </w:rPr>
            </w:pPr>
            <w:r>
              <w:rPr>
                <w:rFonts w:cstheme="minorHAnsi"/>
              </w:rPr>
              <w:t>70 000,00</w:t>
            </w:r>
          </w:p>
        </w:tc>
      </w:tr>
      <w:tr w:rsidR="00AE7C57" w:rsidRPr="00AE7C57" w14:paraId="5665E705" w14:textId="77777777" w:rsidTr="00924833">
        <w:trPr>
          <w:trHeight w:val="1122"/>
        </w:trPr>
        <w:tc>
          <w:tcPr>
            <w:tcW w:w="368" w:type="pct"/>
            <w:vAlign w:val="center"/>
          </w:tcPr>
          <w:p w14:paraId="551EFE5C" w14:textId="77777777" w:rsidR="00AE7C57" w:rsidRPr="00AE7C57" w:rsidRDefault="00AE7C57" w:rsidP="005B73BD">
            <w:pPr>
              <w:pStyle w:val="Akapitzlist"/>
              <w:ind w:left="0"/>
              <w:jc w:val="center"/>
              <w:rPr>
                <w:rFonts w:cstheme="minorHAnsi"/>
              </w:rPr>
            </w:pPr>
            <w:r w:rsidRPr="00AE7C57">
              <w:rPr>
                <w:rFonts w:cstheme="minorHAnsi"/>
              </w:rPr>
              <w:t>3</w:t>
            </w:r>
          </w:p>
        </w:tc>
        <w:tc>
          <w:tcPr>
            <w:tcW w:w="1193" w:type="pct"/>
            <w:vAlign w:val="center"/>
          </w:tcPr>
          <w:p w14:paraId="2110FC4B" w14:textId="4FA2740C" w:rsidR="00AE7C57" w:rsidRPr="00AE7C57" w:rsidRDefault="00AE7C57" w:rsidP="005B73BD">
            <w:pPr>
              <w:pStyle w:val="Akapitzlist"/>
              <w:ind w:left="0"/>
              <w:jc w:val="both"/>
              <w:rPr>
                <w:rFonts w:cstheme="minorHAnsi"/>
              </w:rPr>
            </w:pPr>
            <w:r w:rsidRPr="00AE7C57">
              <w:rPr>
                <w:rFonts w:cstheme="minorHAnsi"/>
              </w:rPr>
              <w:t>R</w:t>
            </w:r>
            <w:r w:rsidR="00924833">
              <w:rPr>
                <w:rFonts w:cstheme="minorHAnsi"/>
              </w:rPr>
              <w:t>emonty budynków gospodarczych</w:t>
            </w:r>
          </w:p>
        </w:tc>
        <w:tc>
          <w:tcPr>
            <w:tcW w:w="687" w:type="pct"/>
            <w:vAlign w:val="center"/>
          </w:tcPr>
          <w:p w14:paraId="23ABA02A" w14:textId="68D29166" w:rsidR="00AE7C57" w:rsidRPr="00AE7C57" w:rsidRDefault="00924833" w:rsidP="005B73BD">
            <w:pPr>
              <w:pStyle w:val="Akapitzlist"/>
              <w:ind w:left="0"/>
              <w:jc w:val="center"/>
              <w:rPr>
                <w:rFonts w:cstheme="minorHAnsi"/>
              </w:rPr>
            </w:pPr>
            <w:r>
              <w:rPr>
                <w:rFonts w:cstheme="minorHAnsi"/>
              </w:rPr>
              <w:t>30 000,00</w:t>
            </w:r>
          </w:p>
        </w:tc>
        <w:tc>
          <w:tcPr>
            <w:tcW w:w="688" w:type="pct"/>
            <w:vAlign w:val="center"/>
          </w:tcPr>
          <w:p w14:paraId="0A2C39B6" w14:textId="7120F50C" w:rsidR="00AE7C57" w:rsidRPr="00AE7C57" w:rsidRDefault="00924833" w:rsidP="005B73BD">
            <w:pPr>
              <w:pStyle w:val="Akapitzlist"/>
              <w:ind w:left="0"/>
              <w:jc w:val="center"/>
              <w:rPr>
                <w:rFonts w:cstheme="minorHAnsi"/>
              </w:rPr>
            </w:pPr>
            <w:r>
              <w:rPr>
                <w:rFonts w:cstheme="minorHAnsi"/>
              </w:rPr>
              <w:t>0</w:t>
            </w:r>
          </w:p>
        </w:tc>
        <w:tc>
          <w:tcPr>
            <w:tcW w:w="687" w:type="pct"/>
            <w:vAlign w:val="center"/>
          </w:tcPr>
          <w:p w14:paraId="5DAEB569" w14:textId="1FDB2B1E" w:rsidR="00AE7C57" w:rsidRPr="00AE7C57" w:rsidRDefault="00924833" w:rsidP="005B73BD">
            <w:pPr>
              <w:pStyle w:val="Akapitzlist"/>
              <w:ind w:left="0"/>
              <w:jc w:val="center"/>
              <w:rPr>
                <w:rFonts w:cstheme="minorHAnsi"/>
              </w:rPr>
            </w:pPr>
            <w:r>
              <w:rPr>
                <w:rFonts w:cstheme="minorHAnsi"/>
              </w:rPr>
              <w:t>50 000,00</w:t>
            </w:r>
          </w:p>
        </w:tc>
        <w:tc>
          <w:tcPr>
            <w:tcW w:w="688" w:type="pct"/>
            <w:vAlign w:val="center"/>
          </w:tcPr>
          <w:p w14:paraId="12726320" w14:textId="3611CE4E" w:rsidR="00AE7C57" w:rsidRPr="00AE7C57" w:rsidRDefault="00924833" w:rsidP="005B73BD">
            <w:pPr>
              <w:pStyle w:val="Akapitzlist"/>
              <w:ind w:left="0"/>
              <w:jc w:val="center"/>
              <w:rPr>
                <w:rFonts w:cstheme="minorHAnsi"/>
              </w:rPr>
            </w:pPr>
            <w:r>
              <w:rPr>
                <w:rFonts w:cstheme="minorHAnsi"/>
              </w:rPr>
              <w:t>0</w:t>
            </w:r>
          </w:p>
        </w:tc>
        <w:tc>
          <w:tcPr>
            <w:tcW w:w="689" w:type="pct"/>
            <w:vAlign w:val="center"/>
          </w:tcPr>
          <w:p w14:paraId="49517E45" w14:textId="7E180029" w:rsidR="00AE7C57" w:rsidRPr="00AE7C57" w:rsidRDefault="00924833" w:rsidP="005B73BD">
            <w:pPr>
              <w:pStyle w:val="Akapitzlist"/>
              <w:ind w:left="0"/>
              <w:jc w:val="center"/>
              <w:rPr>
                <w:rFonts w:cstheme="minorHAnsi"/>
              </w:rPr>
            </w:pPr>
            <w:r>
              <w:rPr>
                <w:rFonts w:cstheme="minorHAnsi"/>
              </w:rPr>
              <w:t>50 000,00</w:t>
            </w:r>
          </w:p>
        </w:tc>
      </w:tr>
      <w:tr w:rsidR="00AE7C57" w:rsidRPr="00AE7C57" w14:paraId="0E388CD5" w14:textId="77777777" w:rsidTr="00924833">
        <w:trPr>
          <w:trHeight w:val="1549"/>
        </w:trPr>
        <w:tc>
          <w:tcPr>
            <w:tcW w:w="368" w:type="pct"/>
            <w:vAlign w:val="center"/>
          </w:tcPr>
          <w:p w14:paraId="1E5C8F5F" w14:textId="77777777" w:rsidR="00AE7C57" w:rsidRPr="00AE7C57" w:rsidRDefault="00AE7C57" w:rsidP="005B73BD">
            <w:pPr>
              <w:pStyle w:val="Akapitzlist"/>
              <w:ind w:left="0"/>
              <w:jc w:val="center"/>
              <w:rPr>
                <w:rFonts w:cstheme="minorHAnsi"/>
              </w:rPr>
            </w:pPr>
            <w:r w:rsidRPr="00AE7C57">
              <w:rPr>
                <w:rFonts w:cstheme="minorHAnsi"/>
              </w:rPr>
              <w:t>4</w:t>
            </w:r>
          </w:p>
        </w:tc>
        <w:tc>
          <w:tcPr>
            <w:tcW w:w="1193" w:type="pct"/>
            <w:vAlign w:val="center"/>
          </w:tcPr>
          <w:p w14:paraId="5FF50035" w14:textId="71E3AFE7" w:rsidR="00AE7C57" w:rsidRPr="00AE7C57" w:rsidRDefault="00924833" w:rsidP="005B73BD">
            <w:pPr>
              <w:pStyle w:val="Akapitzlist"/>
              <w:ind w:left="0"/>
              <w:jc w:val="both"/>
              <w:rPr>
                <w:rFonts w:cstheme="minorHAnsi"/>
              </w:rPr>
            </w:pPr>
            <w:r>
              <w:rPr>
                <w:rFonts w:cstheme="minorHAnsi"/>
              </w:rPr>
              <w:t>Remonty i utrzymanie dróg dojazdowych, chodników, podwórzy, terenów zielonych</w:t>
            </w:r>
          </w:p>
        </w:tc>
        <w:tc>
          <w:tcPr>
            <w:tcW w:w="687" w:type="pct"/>
            <w:vAlign w:val="center"/>
          </w:tcPr>
          <w:p w14:paraId="5515E325" w14:textId="70870074" w:rsidR="00AE7C57" w:rsidRPr="00AE7C57" w:rsidRDefault="00924833" w:rsidP="005B73BD">
            <w:pPr>
              <w:pStyle w:val="Akapitzlist"/>
              <w:ind w:left="0"/>
              <w:jc w:val="center"/>
              <w:rPr>
                <w:rFonts w:cstheme="minorHAnsi"/>
              </w:rPr>
            </w:pPr>
            <w:r>
              <w:rPr>
                <w:rFonts w:cstheme="minorHAnsi"/>
              </w:rPr>
              <w:t>10 000,00</w:t>
            </w:r>
          </w:p>
        </w:tc>
        <w:tc>
          <w:tcPr>
            <w:tcW w:w="688" w:type="pct"/>
            <w:vAlign w:val="center"/>
          </w:tcPr>
          <w:p w14:paraId="43B7DFE1" w14:textId="1A23E4A4" w:rsidR="00AE7C57" w:rsidRPr="00AE7C57" w:rsidRDefault="00924833" w:rsidP="005B73BD">
            <w:pPr>
              <w:pStyle w:val="Akapitzlist"/>
              <w:ind w:left="0"/>
              <w:jc w:val="center"/>
              <w:rPr>
                <w:rFonts w:cstheme="minorHAnsi"/>
              </w:rPr>
            </w:pPr>
            <w:r>
              <w:rPr>
                <w:rFonts w:cstheme="minorHAnsi"/>
              </w:rPr>
              <w:t>10 000,00</w:t>
            </w:r>
          </w:p>
        </w:tc>
        <w:tc>
          <w:tcPr>
            <w:tcW w:w="687" w:type="pct"/>
            <w:vAlign w:val="center"/>
          </w:tcPr>
          <w:p w14:paraId="001481A0" w14:textId="6E0727DD" w:rsidR="00AE7C57" w:rsidRPr="00AE7C57" w:rsidRDefault="00924833" w:rsidP="005B73BD">
            <w:pPr>
              <w:pStyle w:val="Akapitzlist"/>
              <w:ind w:left="0"/>
              <w:jc w:val="center"/>
              <w:rPr>
                <w:rFonts w:cstheme="minorHAnsi"/>
              </w:rPr>
            </w:pPr>
            <w:r>
              <w:rPr>
                <w:rFonts w:cstheme="minorHAnsi"/>
              </w:rPr>
              <w:t>10 000,00</w:t>
            </w:r>
          </w:p>
        </w:tc>
        <w:tc>
          <w:tcPr>
            <w:tcW w:w="688" w:type="pct"/>
            <w:vAlign w:val="center"/>
          </w:tcPr>
          <w:p w14:paraId="2DBD8429" w14:textId="239143A5" w:rsidR="00AE7C57" w:rsidRPr="00AE7C57" w:rsidRDefault="00924833" w:rsidP="005B73BD">
            <w:pPr>
              <w:pStyle w:val="Akapitzlist"/>
              <w:ind w:left="0"/>
              <w:jc w:val="center"/>
              <w:rPr>
                <w:rFonts w:cstheme="minorHAnsi"/>
              </w:rPr>
            </w:pPr>
            <w:r>
              <w:rPr>
                <w:rFonts w:cstheme="minorHAnsi"/>
              </w:rPr>
              <w:t>10 000,00</w:t>
            </w:r>
          </w:p>
        </w:tc>
        <w:tc>
          <w:tcPr>
            <w:tcW w:w="689" w:type="pct"/>
            <w:vAlign w:val="center"/>
          </w:tcPr>
          <w:p w14:paraId="5A83D2BD" w14:textId="16DCDC3F" w:rsidR="00AE7C57" w:rsidRPr="00AE7C57" w:rsidRDefault="00924833" w:rsidP="005B73BD">
            <w:pPr>
              <w:pStyle w:val="Akapitzlist"/>
              <w:ind w:left="0"/>
              <w:jc w:val="center"/>
              <w:rPr>
                <w:rFonts w:cstheme="minorHAnsi"/>
              </w:rPr>
            </w:pPr>
            <w:r>
              <w:rPr>
                <w:rFonts w:cstheme="minorHAnsi"/>
              </w:rPr>
              <w:t>10 000,00</w:t>
            </w:r>
          </w:p>
        </w:tc>
      </w:tr>
    </w:tbl>
    <w:p w14:paraId="78DDE045" w14:textId="31131366" w:rsidR="003339A9" w:rsidRDefault="00D749DC" w:rsidP="00BE7302">
      <w:pPr>
        <w:contextualSpacing/>
      </w:pPr>
      <w:r>
        <w:t xml:space="preserve"> </w:t>
      </w:r>
    </w:p>
    <w:p w14:paraId="048F46F9" w14:textId="4F29106F" w:rsidR="00E27B75" w:rsidRPr="00536E10" w:rsidRDefault="00E27B75" w:rsidP="00E27B75">
      <w:pPr>
        <w:contextualSpacing/>
        <w:jc w:val="center"/>
        <w:rPr>
          <w:b/>
          <w:bCs/>
        </w:rPr>
      </w:pPr>
      <w:r w:rsidRPr="00536E10">
        <w:rPr>
          <w:b/>
          <w:bCs/>
        </w:rPr>
        <w:t xml:space="preserve">Rozdział </w:t>
      </w:r>
      <w:r>
        <w:rPr>
          <w:b/>
          <w:bCs/>
        </w:rPr>
        <w:t>5</w:t>
      </w:r>
    </w:p>
    <w:p w14:paraId="07A2777B" w14:textId="46F6FD06" w:rsidR="00E27B75" w:rsidRDefault="00E27B75" w:rsidP="00E27B75">
      <w:pPr>
        <w:contextualSpacing/>
        <w:jc w:val="center"/>
        <w:rPr>
          <w:b/>
          <w:bCs/>
        </w:rPr>
      </w:pPr>
      <w:r>
        <w:rPr>
          <w:b/>
          <w:bCs/>
        </w:rPr>
        <w:t>Planowana sprzedaż lokali w kolejnych latach</w:t>
      </w:r>
    </w:p>
    <w:p w14:paraId="4BF1A59E" w14:textId="77777777" w:rsidR="00E27B75" w:rsidRDefault="00E27B75" w:rsidP="00E27B75">
      <w:pPr>
        <w:contextualSpacing/>
        <w:jc w:val="center"/>
        <w:rPr>
          <w:b/>
          <w:bCs/>
        </w:rPr>
      </w:pPr>
    </w:p>
    <w:p w14:paraId="0923C8FA" w14:textId="20B7A1D8" w:rsidR="00E27B75" w:rsidRPr="00E27B75" w:rsidRDefault="00E27B75" w:rsidP="007561E1">
      <w:pPr>
        <w:contextualSpacing/>
        <w:jc w:val="both"/>
      </w:pPr>
      <w:r w:rsidRPr="00542B1E">
        <w:rPr>
          <w:b/>
          <w:bCs/>
        </w:rPr>
        <w:t>§ 6.</w:t>
      </w:r>
      <w:r>
        <w:rPr>
          <w:b/>
          <w:bCs/>
        </w:rPr>
        <w:t xml:space="preserve"> </w:t>
      </w:r>
      <w:r>
        <w:t>Gmina Komorniki nie planuje w kolejnych latach sprzedaży lokali mieszkalnych z uwagi na duże zapotrzebowanie na lokale mieszkalne i długą listę osób oczekujących na przydział lokalu z mieszkaniowego zasobu gminy.</w:t>
      </w:r>
      <w:r w:rsidR="00184E17">
        <w:t xml:space="preserve"> Wyjątek stanowi zamiar sprzedaży w 2025 r. lokalu mieszkalnego, położonego w Plewiskach przy ul. Szkolnej 47/2 (współwłasność). </w:t>
      </w:r>
    </w:p>
    <w:p w14:paraId="152220F5" w14:textId="77777777" w:rsidR="00997F49" w:rsidRDefault="00997F49" w:rsidP="00EF73DB">
      <w:pPr>
        <w:contextualSpacing/>
        <w:jc w:val="center"/>
        <w:rPr>
          <w:b/>
          <w:bCs/>
        </w:rPr>
      </w:pPr>
    </w:p>
    <w:p w14:paraId="6DE96C9B" w14:textId="1A6E50E5" w:rsidR="00EF73DB" w:rsidRPr="00536E10" w:rsidRDefault="00EF73DB" w:rsidP="00EF73DB">
      <w:pPr>
        <w:contextualSpacing/>
        <w:jc w:val="center"/>
        <w:rPr>
          <w:b/>
          <w:bCs/>
        </w:rPr>
      </w:pPr>
      <w:r w:rsidRPr="00536E10">
        <w:rPr>
          <w:b/>
          <w:bCs/>
        </w:rPr>
        <w:t xml:space="preserve">Rozdział </w:t>
      </w:r>
      <w:r>
        <w:rPr>
          <w:b/>
          <w:bCs/>
        </w:rPr>
        <w:t>6</w:t>
      </w:r>
    </w:p>
    <w:p w14:paraId="3367D97E" w14:textId="77777777" w:rsidR="00D6115B" w:rsidRDefault="00EF73DB" w:rsidP="00EF73DB">
      <w:pPr>
        <w:contextualSpacing/>
        <w:jc w:val="center"/>
        <w:rPr>
          <w:b/>
          <w:bCs/>
        </w:rPr>
      </w:pPr>
      <w:r>
        <w:rPr>
          <w:b/>
          <w:bCs/>
        </w:rPr>
        <w:t>Zasady polityki czynszowej oraz warunki obniżania czynszu</w:t>
      </w:r>
    </w:p>
    <w:p w14:paraId="15F2D956" w14:textId="77777777" w:rsidR="00D6115B" w:rsidRDefault="00D6115B" w:rsidP="00EF73DB">
      <w:pPr>
        <w:contextualSpacing/>
        <w:jc w:val="center"/>
        <w:rPr>
          <w:b/>
          <w:bCs/>
        </w:rPr>
      </w:pPr>
    </w:p>
    <w:p w14:paraId="2EF85685" w14:textId="4F265B67" w:rsidR="00EF73DB" w:rsidRDefault="00D6115B" w:rsidP="007561E1">
      <w:pPr>
        <w:contextualSpacing/>
        <w:jc w:val="both"/>
      </w:pPr>
      <w:r>
        <w:rPr>
          <w:b/>
          <w:bCs/>
        </w:rPr>
        <w:t xml:space="preserve">§ 7. </w:t>
      </w:r>
      <w:r w:rsidRPr="00F45C4D">
        <w:t>1.</w:t>
      </w:r>
      <w:r>
        <w:rPr>
          <w:b/>
          <w:bCs/>
        </w:rPr>
        <w:t xml:space="preserve"> </w:t>
      </w:r>
      <w:r w:rsidRPr="00D6115B">
        <w:t>Stawkę bazową czynszu za 1 m</w:t>
      </w:r>
      <w:r w:rsidRPr="00D6115B">
        <w:rPr>
          <w:vertAlign w:val="superscript"/>
        </w:rPr>
        <w:t>2</w:t>
      </w:r>
      <w:r>
        <w:rPr>
          <w:b/>
          <w:bCs/>
        </w:rPr>
        <w:t xml:space="preserve"> </w:t>
      </w:r>
      <w:r w:rsidRPr="00D6115B">
        <w:t xml:space="preserve">powierzchni </w:t>
      </w:r>
      <w:r>
        <w:t>użytkowej lokalu mieszk</w:t>
      </w:r>
      <w:r w:rsidR="0069118D">
        <w:t xml:space="preserve">alnego ustala Wójt Gminy Komorniki </w:t>
      </w:r>
      <w:r w:rsidR="00D410E2">
        <w:t>w drodze</w:t>
      </w:r>
      <w:r w:rsidR="0069118D">
        <w:t xml:space="preserve"> zarządzenia.</w:t>
      </w:r>
    </w:p>
    <w:p w14:paraId="7976CADE" w14:textId="77777777" w:rsidR="0069118D" w:rsidRDefault="0069118D" w:rsidP="007561E1">
      <w:pPr>
        <w:contextualSpacing/>
        <w:jc w:val="both"/>
      </w:pPr>
    </w:p>
    <w:p w14:paraId="01466789" w14:textId="2DE9E6DD" w:rsidR="007561E1" w:rsidRPr="007561E1" w:rsidRDefault="0069118D" w:rsidP="007561E1">
      <w:pPr>
        <w:contextualSpacing/>
        <w:jc w:val="both"/>
      </w:pPr>
      <w:r w:rsidRPr="00F45C4D">
        <w:lastRenderedPageBreak/>
        <w:t>2.</w:t>
      </w:r>
      <w:r>
        <w:t xml:space="preserve"> Stawka czynszu za 1 m</w:t>
      </w:r>
      <w:r>
        <w:rPr>
          <w:vertAlign w:val="superscript"/>
        </w:rPr>
        <w:t>2</w:t>
      </w:r>
      <w:r>
        <w:t xml:space="preserve"> powierzchni użytkowej lokali mieszkalnych ustalana jest z uwzględnieniem czynników obniżających i podwyższających </w:t>
      </w:r>
      <w:r w:rsidR="007561E1">
        <w:t>stawkę czynszu.</w:t>
      </w:r>
    </w:p>
    <w:p w14:paraId="04FE9910" w14:textId="7D4CF3F0" w:rsidR="007561E1" w:rsidRPr="007561E1" w:rsidRDefault="00997F49" w:rsidP="00F45C4D">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 xml:space="preserve">3. </w:t>
      </w:r>
      <w:r w:rsidR="00D410E2">
        <w:rPr>
          <w:rFonts w:asciiTheme="minorHAnsi" w:hAnsiTheme="minorHAnsi" w:cstheme="minorHAnsi"/>
          <w:sz w:val="22"/>
          <w:szCs w:val="22"/>
        </w:rPr>
        <w:t>C</w:t>
      </w:r>
      <w:r w:rsidR="007561E1" w:rsidRPr="007561E1">
        <w:rPr>
          <w:rFonts w:asciiTheme="minorHAnsi" w:hAnsiTheme="minorHAnsi" w:cstheme="minorHAnsi"/>
          <w:sz w:val="22"/>
          <w:szCs w:val="22"/>
        </w:rPr>
        <w:t xml:space="preserve">zynniki </w:t>
      </w:r>
      <w:r w:rsidR="004D7EC7">
        <w:rPr>
          <w:rFonts w:asciiTheme="minorHAnsi" w:hAnsiTheme="minorHAnsi" w:cstheme="minorHAnsi"/>
          <w:sz w:val="22"/>
          <w:szCs w:val="22"/>
        </w:rPr>
        <w:t>podwyższające</w:t>
      </w:r>
      <w:r w:rsidR="007561E1" w:rsidRPr="007561E1">
        <w:rPr>
          <w:rFonts w:asciiTheme="minorHAnsi" w:hAnsiTheme="minorHAnsi" w:cstheme="minorHAnsi"/>
          <w:sz w:val="22"/>
          <w:szCs w:val="22"/>
        </w:rPr>
        <w:t xml:space="preserve"> wartość użytkową lokalu:</w:t>
      </w:r>
    </w:p>
    <w:p w14:paraId="18369D54" w14:textId="2479FFE7" w:rsidR="007561E1" w:rsidRDefault="00B947EF" w:rsidP="00997F49">
      <w:pPr>
        <w:pStyle w:val="Akapitzlist"/>
        <w:numPr>
          <w:ilvl w:val="3"/>
          <w:numId w:val="9"/>
        </w:numPr>
        <w:rPr>
          <w:rFonts w:cstheme="minorHAnsi"/>
        </w:rPr>
      </w:pPr>
      <w:r>
        <w:rPr>
          <w:rFonts w:cstheme="minorHAnsi"/>
        </w:rPr>
        <w:t>Położenie budynku</w:t>
      </w:r>
      <w:r w:rsidR="000C2EB5">
        <w:rPr>
          <w:rFonts w:cstheme="minorHAnsi"/>
        </w:rPr>
        <w:t>:</w:t>
      </w:r>
    </w:p>
    <w:p w14:paraId="7C4F5F75" w14:textId="73BCFC6E" w:rsidR="000C2EB5" w:rsidRPr="00997F49" w:rsidRDefault="000C2EB5" w:rsidP="000C2EB5">
      <w:pPr>
        <w:pStyle w:val="Akapitzlist"/>
        <w:ind w:left="1021"/>
        <w:rPr>
          <w:rFonts w:cstheme="minorHAnsi"/>
        </w:rPr>
      </w:pPr>
      <w:r>
        <w:rPr>
          <w:rFonts w:cstheme="minorHAnsi"/>
        </w:rPr>
        <w:t xml:space="preserve">- budynek położony w miejscowościach: Plewiska, Komorniki (plus 5%) </w:t>
      </w:r>
    </w:p>
    <w:p w14:paraId="70953F24" w14:textId="77777777" w:rsidR="00B947EF" w:rsidRDefault="007561E1" w:rsidP="007561E1">
      <w:pPr>
        <w:pStyle w:val="Akapitzlist"/>
        <w:numPr>
          <w:ilvl w:val="3"/>
          <w:numId w:val="9"/>
        </w:numPr>
        <w:spacing w:after="0"/>
        <w:rPr>
          <w:rFonts w:cstheme="minorHAnsi"/>
        </w:rPr>
      </w:pPr>
      <w:r w:rsidRPr="007561E1">
        <w:rPr>
          <w:rFonts w:cstheme="minorHAnsi"/>
        </w:rPr>
        <w:t xml:space="preserve"> </w:t>
      </w:r>
      <w:r w:rsidR="00B947EF">
        <w:rPr>
          <w:rFonts w:cstheme="minorHAnsi"/>
        </w:rPr>
        <w:t>Położenie lokalu w budynku:</w:t>
      </w:r>
    </w:p>
    <w:p w14:paraId="023E4DC0" w14:textId="0D54888D" w:rsidR="007561E1" w:rsidRDefault="00B947EF" w:rsidP="00B947EF">
      <w:pPr>
        <w:pStyle w:val="Akapitzlist"/>
        <w:spacing w:after="0"/>
        <w:ind w:left="1021"/>
        <w:rPr>
          <w:rFonts w:cstheme="minorHAnsi"/>
        </w:rPr>
      </w:pPr>
      <w:r>
        <w:rPr>
          <w:rFonts w:cstheme="minorHAnsi"/>
        </w:rPr>
        <w:t xml:space="preserve">- </w:t>
      </w:r>
      <w:r w:rsidR="007561E1" w:rsidRPr="007561E1">
        <w:rPr>
          <w:rFonts w:cstheme="minorHAnsi"/>
        </w:rPr>
        <w:t xml:space="preserve"> </w:t>
      </w:r>
      <w:r>
        <w:rPr>
          <w:rFonts w:cstheme="minorHAnsi"/>
        </w:rPr>
        <w:t>lokal położony na parterze</w:t>
      </w:r>
      <w:r w:rsidR="000C2EB5">
        <w:rPr>
          <w:rFonts w:cstheme="minorHAnsi"/>
        </w:rPr>
        <w:t>, z bezpośrednim wejściem</w:t>
      </w:r>
      <w:r w:rsidR="007561E1" w:rsidRPr="007561E1">
        <w:rPr>
          <w:rFonts w:cstheme="minorHAnsi"/>
        </w:rPr>
        <w:t xml:space="preserve"> (</w:t>
      </w:r>
      <w:r>
        <w:rPr>
          <w:rFonts w:cstheme="minorHAnsi"/>
        </w:rPr>
        <w:t>plus</w:t>
      </w:r>
      <w:r w:rsidR="007561E1" w:rsidRPr="007561E1">
        <w:rPr>
          <w:rFonts w:cstheme="minorHAnsi"/>
        </w:rPr>
        <w:t xml:space="preserve"> 10%)</w:t>
      </w:r>
    </w:p>
    <w:p w14:paraId="5FB988FE" w14:textId="7F073E91" w:rsidR="00B947EF" w:rsidRDefault="00B947EF" w:rsidP="00B947EF">
      <w:pPr>
        <w:pStyle w:val="Akapitzlist"/>
        <w:spacing w:after="0"/>
        <w:ind w:left="1021"/>
        <w:rPr>
          <w:rFonts w:cstheme="minorHAnsi"/>
        </w:rPr>
      </w:pPr>
      <w:r>
        <w:rPr>
          <w:rFonts w:cstheme="minorHAnsi"/>
        </w:rPr>
        <w:t>-  lokal mieszkalny, do którego przynależy ogródek przydomowy (plus 20%)</w:t>
      </w:r>
    </w:p>
    <w:p w14:paraId="3E98AD60" w14:textId="53F84D77" w:rsidR="00B947EF" w:rsidRPr="00B947EF" w:rsidRDefault="00B947EF" w:rsidP="00B947EF">
      <w:pPr>
        <w:spacing w:after="0"/>
        <w:rPr>
          <w:rFonts w:cstheme="minorHAnsi"/>
        </w:rPr>
      </w:pPr>
      <w:r>
        <w:rPr>
          <w:rFonts w:cstheme="minorHAnsi"/>
        </w:rPr>
        <w:t xml:space="preserve">                    </w:t>
      </w:r>
      <w:r w:rsidRPr="00B947EF">
        <w:rPr>
          <w:rFonts w:cstheme="minorHAnsi"/>
        </w:rPr>
        <w:t xml:space="preserve"> -  lokal mieszkalny, do którego przynależy </w:t>
      </w:r>
      <w:r>
        <w:rPr>
          <w:rFonts w:cstheme="minorHAnsi"/>
        </w:rPr>
        <w:t>pomieszczenie piwniczne</w:t>
      </w:r>
      <w:r w:rsidRPr="00B947EF">
        <w:rPr>
          <w:rFonts w:cstheme="minorHAnsi"/>
        </w:rPr>
        <w:t xml:space="preserve"> (plus </w:t>
      </w:r>
      <w:r>
        <w:rPr>
          <w:rFonts w:cstheme="minorHAnsi"/>
        </w:rPr>
        <w:t>2</w:t>
      </w:r>
      <w:r w:rsidRPr="00B947EF">
        <w:rPr>
          <w:rFonts w:cstheme="minorHAnsi"/>
        </w:rPr>
        <w:t>0%)</w:t>
      </w:r>
    </w:p>
    <w:p w14:paraId="3208EDAE" w14:textId="705C4969" w:rsidR="00B947EF" w:rsidRDefault="007561E1" w:rsidP="007561E1">
      <w:pPr>
        <w:pStyle w:val="Akapitzlist"/>
        <w:numPr>
          <w:ilvl w:val="3"/>
          <w:numId w:val="9"/>
        </w:numPr>
        <w:spacing w:after="0"/>
        <w:rPr>
          <w:rFonts w:cstheme="minorHAnsi"/>
        </w:rPr>
      </w:pPr>
      <w:r w:rsidRPr="007561E1">
        <w:rPr>
          <w:rFonts w:cstheme="minorHAnsi"/>
        </w:rPr>
        <w:t xml:space="preserve"> </w:t>
      </w:r>
      <w:r w:rsidR="00B947EF">
        <w:rPr>
          <w:rFonts w:cstheme="minorHAnsi"/>
        </w:rPr>
        <w:t>Wyposażenie budynku i lokalu w urządzenia techniczne i instalacje oraz ich stan:</w:t>
      </w:r>
    </w:p>
    <w:p w14:paraId="0A6DBDD7" w14:textId="5584B03D" w:rsidR="00B947EF" w:rsidRDefault="00B947EF" w:rsidP="00B947EF">
      <w:pPr>
        <w:pStyle w:val="Akapitzlist"/>
        <w:spacing w:after="0"/>
        <w:ind w:left="1021"/>
        <w:rPr>
          <w:rFonts w:cstheme="minorHAnsi"/>
        </w:rPr>
      </w:pPr>
      <w:r>
        <w:rPr>
          <w:rFonts w:cstheme="minorHAnsi"/>
        </w:rPr>
        <w:t>- lokal mieszkalny wyposażony w instalację gazową (plus 10%)</w:t>
      </w:r>
    </w:p>
    <w:p w14:paraId="3E67ACA9" w14:textId="77777777" w:rsidR="004D7EC7" w:rsidRDefault="004D7EC7" w:rsidP="007561E1">
      <w:pPr>
        <w:pStyle w:val="Akapitzlist"/>
        <w:numPr>
          <w:ilvl w:val="3"/>
          <w:numId w:val="9"/>
        </w:numPr>
        <w:spacing w:after="0"/>
        <w:rPr>
          <w:rFonts w:cstheme="minorHAnsi"/>
        </w:rPr>
      </w:pPr>
      <w:r>
        <w:rPr>
          <w:rFonts w:cstheme="minorHAnsi"/>
        </w:rPr>
        <w:t xml:space="preserve"> Ogólny stan techniczny budynku:</w:t>
      </w:r>
    </w:p>
    <w:p w14:paraId="2B397500" w14:textId="24FA380F" w:rsidR="007561E1" w:rsidRDefault="004D7EC7" w:rsidP="004D7EC7">
      <w:pPr>
        <w:pStyle w:val="Akapitzlist"/>
        <w:spacing w:after="0"/>
        <w:ind w:left="1021"/>
        <w:rPr>
          <w:rFonts w:cstheme="minorHAnsi"/>
        </w:rPr>
      </w:pPr>
      <w:r>
        <w:rPr>
          <w:rFonts w:cstheme="minorHAnsi"/>
        </w:rPr>
        <w:t>- stan techniczny budynku określony jako dobry</w:t>
      </w:r>
      <w:r w:rsidR="007561E1" w:rsidRPr="007561E1">
        <w:rPr>
          <w:rFonts w:cstheme="minorHAnsi"/>
        </w:rPr>
        <w:t xml:space="preserve"> (</w:t>
      </w:r>
      <w:r>
        <w:rPr>
          <w:rFonts w:cstheme="minorHAnsi"/>
        </w:rPr>
        <w:t>plus</w:t>
      </w:r>
      <w:r w:rsidR="007561E1" w:rsidRPr="007561E1">
        <w:rPr>
          <w:rFonts w:cstheme="minorHAnsi"/>
        </w:rPr>
        <w:t xml:space="preserve"> </w:t>
      </w:r>
      <w:r>
        <w:rPr>
          <w:rFonts w:cstheme="minorHAnsi"/>
        </w:rPr>
        <w:t>5</w:t>
      </w:r>
      <w:r w:rsidR="007561E1" w:rsidRPr="007561E1">
        <w:rPr>
          <w:rFonts w:cstheme="minorHAnsi"/>
        </w:rPr>
        <w:t>0%)</w:t>
      </w:r>
      <w:r w:rsidR="007561E1">
        <w:rPr>
          <w:rFonts w:cstheme="minorHAnsi"/>
        </w:rPr>
        <w:t>.</w:t>
      </w:r>
    </w:p>
    <w:p w14:paraId="1DB17FCD" w14:textId="77777777" w:rsidR="007561E1" w:rsidRPr="007561E1" w:rsidRDefault="007561E1" w:rsidP="007561E1">
      <w:pPr>
        <w:pStyle w:val="Akapitzlist"/>
        <w:spacing w:after="0"/>
        <w:ind w:left="1021"/>
        <w:rPr>
          <w:rFonts w:cstheme="minorHAnsi"/>
        </w:rPr>
      </w:pPr>
    </w:p>
    <w:p w14:paraId="07F03257" w14:textId="1684ED28" w:rsidR="007561E1" w:rsidRDefault="00997F49" w:rsidP="00F45C4D">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 xml:space="preserve">4. </w:t>
      </w:r>
      <w:r w:rsidR="00D410E2">
        <w:rPr>
          <w:rFonts w:asciiTheme="minorHAnsi" w:hAnsiTheme="minorHAnsi" w:cstheme="minorHAnsi"/>
          <w:sz w:val="22"/>
          <w:szCs w:val="22"/>
        </w:rPr>
        <w:t>C</w:t>
      </w:r>
      <w:r w:rsidR="007561E1" w:rsidRPr="007561E1">
        <w:rPr>
          <w:rFonts w:asciiTheme="minorHAnsi" w:hAnsiTheme="minorHAnsi" w:cstheme="minorHAnsi"/>
          <w:sz w:val="22"/>
          <w:szCs w:val="22"/>
        </w:rPr>
        <w:t xml:space="preserve">zynnik </w:t>
      </w:r>
      <w:r w:rsidR="004D7EC7">
        <w:rPr>
          <w:rFonts w:asciiTheme="minorHAnsi" w:hAnsiTheme="minorHAnsi" w:cstheme="minorHAnsi"/>
          <w:sz w:val="22"/>
          <w:szCs w:val="22"/>
        </w:rPr>
        <w:t>obniżające</w:t>
      </w:r>
      <w:r w:rsidR="007561E1" w:rsidRPr="007561E1">
        <w:rPr>
          <w:rFonts w:asciiTheme="minorHAnsi" w:hAnsiTheme="minorHAnsi" w:cstheme="minorHAnsi"/>
          <w:sz w:val="22"/>
          <w:szCs w:val="22"/>
        </w:rPr>
        <w:t xml:space="preserve"> wartość użytkową lokalu: </w:t>
      </w:r>
    </w:p>
    <w:p w14:paraId="1F54185A" w14:textId="47C3A7CF" w:rsidR="004D7EC7" w:rsidRDefault="004D7EC7" w:rsidP="004D7EC7">
      <w:pPr>
        <w:pStyle w:val="Akapitzlist"/>
        <w:numPr>
          <w:ilvl w:val="3"/>
          <w:numId w:val="22"/>
        </w:numPr>
        <w:rPr>
          <w:rFonts w:cstheme="minorHAnsi"/>
        </w:rPr>
      </w:pPr>
      <w:r>
        <w:rPr>
          <w:rFonts w:cstheme="minorHAnsi"/>
        </w:rPr>
        <w:t>Położenie budynku</w:t>
      </w:r>
      <w:r w:rsidR="000C2EB5">
        <w:rPr>
          <w:rFonts w:cstheme="minorHAnsi"/>
        </w:rPr>
        <w:t>:</w:t>
      </w:r>
    </w:p>
    <w:p w14:paraId="63A2150A" w14:textId="494E8818" w:rsidR="000C2EB5" w:rsidRPr="000C2EB5" w:rsidRDefault="000C2EB5" w:rsidP="000C2EB5">
      <w:pPr>
        <w:pStyle w:val="Akapitzlist"/>
        <w:ind w:left="1021"/>
        <w:rPr>
          <w:rFonts w:cstheme="minorHAnsi"/>
        </w:rPr>
      </w:pPr>
      <w:r>
        <w:rPr>
          <w:rFonts w:cstheme="minorHAnsi"/>
        </w:rPr>
        <w:t xml:space="preserve">- budynek położony w miejscowościach: Wiry, Szreniawa (minus 5%) </w:t>
      </w:r>
    </w:p>
    <w:p w14:paraId="7836EA31" w14:textId="77777777" w:rsidR="004D7EC7" w:rsidRDefault="004D7EC7" w:rsidP="004D7EC7">
      <w:pPr>
        <w:pStyle w:val="Akapitzlist"/>
        <w:numPr>
          <w:ilvl w:val="3"/>
          <w:numId w:val="22"/>
        </w:numPr>
        <w:spacing w:after="0"/>
        <w:rPr>
          <w:rFonts w:cstheme="minorHAnsi"/>
        </w:rPr>
      </w:pPr>
      <w:r w:rsidRPr="007561E1">
        <w:rPr>
          <w:rFonts w:cstheme="minorHAnsi"/>
        </w:rPr>
        <w:t xml:space="preserve"> </w:t>
      </w:r>
      <w:r>
        <w:rPr>
          <w:rFonts w:cstheme="minorHAnsi"/>
        </w:rPr>
        <w:t>Położenie lokalu w budynku:</w:t>
      </w:r>
    </w:p>
    <w:p w14:paraId="6DC34E29" w14:textId="77C0B3C1" w:rsidR="004D7EC7" w:rsidRDefault="004D7EC7" w:rsidP="000C2EB5">
      <w:pPr>
        <w:pStyle w:val="Akapitzlist"/>
        <w:spacing w:after="0"/>
        <w:ind w:left="1021"/>
        <w:rPr>
          <w:rFonts w:cstheme="minorHAnsi"/>
        </w:rPr>
      </w:pPr>
      <w:r>
        <w:rPr>
          <w:rFonts w:cstheme="minorHAnsi"/>
        </w:rPr>
        <w:t xml:space="preserve">- </w:t>
      </w:r>
      <w:r w:rsidRPr="007561E1">
        <w:rPr>
          <w:rFonts w:cstheme="minorHAnsi"/>
        </w:rPr>
        <w:t xml:space="preserve"> </w:t>
      </w:r>
      <w:r>
        <w:rPr>
          <w:rFonts w:cstheme="minorHAnsi"/>
        </w:rPr>
        <w:t>lokal położony na tzw. wysokim parterze (wejście po schodach) oraz na piętrze I</w:t>
      </w:r>
      <w:r w:rsidR="000C2EB5">
        <w:rPr>
          <w:rFonts w:cstheme="minorHAnsi"/>
        </w:rPr>
        <w:t xml:space="preserve"> budynku  </w:t>
      </w:r>
      <w:r w:rsidRPr="000C2EB5">
        <w:rPr>
          <w:rFonts w:cstheme="minorHAnsi"/>
        </w:rPr>
        <w:t>(</w:t>
      </w:r>
      <w:r w:rsidR="001D41FD" w:rsidRPr="000C2EB5">
        <w:rPr>
          <w:rFonts w:cstheme="minorHAnsi"/>
        </w:rPr>
        <w:t>minus</w:t>
      </w:r>
      <w:r w:rsidRPr="000C2EB5">
        <w:rPr>
          <w:rFonts w:cstheme="minorHAnsi"/>
        </w:rPr>
        <w:t xml:space="preserve"> </w:t>
      </w:r>
      <w:r w:rsidR="000C2EB5">
        <w:rPr>
          <w:rFonts w:cstheme="minorHAnsi"/>
        </w:rPr>
        <w:t>5</w:t>
      </w:r>
      <w:r w:rsidRPr="000C2EB5">
        <w:rPr>
          <w:rFonts w:cstheme="minorHAnsi"/>
        </w:rPr>
        <w:t>%)</w:t>
      </w:r>
    </w:p>
    <w:p w14:paraId="0E55C730" w14:textId="36BCF809" w:rsidR="000C2EB5" w:rsidRPr="000C2EB5" w:rsidRDefault="000C2EB5" w:rsidP="000C2EB5">
      <w:pPr>
        <w:pStyle w:val="Akapitzlist"/>
        <w:spacing w:after="0"/>
        <w:ind w:left="1021"/>
        <w:rPr>
          <w:rFonts w:cstheme="minorHAnsi"/>
        </w:rPr>
      </w:pPr>
      <w:r>
        <w:rPr>
          <w:rFonts w:cstheme="minorHAnsi"/>
        </w:rPr>
        <w:t xml:space="preserve">- </w:t>
      </w:r>
      <w:r w:rsidRPr="007561E1">
        <w:rPr>
          <w:rFonts w:cstheme="minorHAnsi"/>
        </w:rPr>
        <w:t xml:space="preserve"> </w:t>
      </w:r>
      <w:r>
        <w:rPr>
          <w:rFonts w:cstheme="minorHAnsi"/>
        </w:rPr>
        <w:t xml:space="preserve">lokal położony na piętrze II budynku i wyższych kondygnacjach </w:t>
      </w:r>
      <w:r w:rsidRPr="000C2EB5">
        <w:rPr>
          <w:rFonts w:cstheme="minorHAnsi"/>
        </w:rPr>
        <w:t>(minus 10%)</w:t>
      </w:r>
    </w:p>
    <w:p w14:paraId="39518F6B" w14:textId="7E8B6078" w:rsidR="004D7EC7" w:rsidRDefault="004D7EC7" w:rsidP="004D7EC7">
      <w:pPr>
        <w:pStyle w:val="Akapitzlist"/>
        <w:numPr>
          <w:ilvl w:val="3"/>
          <w:numId w:val="22"/>
        </w:numPr>
        <w:spacing w:after="0"/>
        <w:rPr>
          <w:rFonts w:cstheme="minorHAnsi"/>
        </w:rPr>
      </w:pPr>
      <w:r>
        <w:rPr>
          <w:rFonts w:cstheme="minorHAnsi"/>
        </w:rPr>
        <w:t>Wyposażenie budynku i lokalu w urządzenia techniczne i instalacje oraz ich stan:</w:t>
      </w:r>
    </w:p>
    <w:p w14:paraId="08F7DE2E" w14:textId="169690B5" w:rsidR="004D7EC7" w:rsidRDefault="004D7EC7" w:rsidP="004D7EC7">
      <w:pPr>
        <w:pStyle w:val="Akapitzlist"/>
        <w:spacing w:after="0"/>
        <w:ind w:left="1021"/>
        <w:rPr>
          <w:rFonts w:cstheme="minorHAnsi"/>
        </w:rPr>
      </w:pPr>
      <w:r>
        <w:rPr>
          <w:rFonts w:cstheme="minorHAnsi"/>
        </w:rPr>
        <w:t>- lokal mieszkalny wyposażony</w:t>
      </w:r>
      <w:r w:rsidR="001D41FD">
        <w:rPr>
          <w:rFonts w:cstheme="minorHAnsi"/>
        </w:rPr>
        <w:t xml:space="preserve"> w ogrzewanie na paliwo stałe</w:t>
      </w:r>
      <w:r>
        <w:rPr>
          <w:rFonts w:cstheme="minorHAnsi"/>
        </w:rPr>
        <w:t xml:space="preserve"> (</w:t>
      </w:r>
      <w:r w:rsidR="001D41FD">
        <w:rPr>
          <w:rFonts w:cstheme="minorHAnsi"/>
        </w:rPr>
        <w:t>minus</w:t>
      </w:r>
      <w:r>
        <w:rPr>
          <w:rFonts w:cstheme="minorHAnsi"/>
        </w:rPr>
        <w:t xml:space="preserve"> 10%)</w:t>
      </w:r>
    </w:p>
    <w:p w14:paraId="28134A2D" w14:textId="77777777" w:rsidR="004D7EC7" w:rsidRDefault="004D7EC7" w:rsidP="004D7EC7">
      <w:pPr>
        <w:pStyle w:val="Akapitzlist"/>
        <w:numPr>
          <w:ilvl w:val="3"/>
          <w:numId w:val="22"/>
        </w:numPr>
        <w:spacing w:after="0"/>
        <w:rPr>
          <w:rFonts w:cstheme="minorHAnsi"/>
        </w:rPr>
      </w:pPr>
      <w:r>
        <w:rPr>
          <w:rFonts w:cstheme="minorHAnsi"/>
        </w:rPr>
        <w:t xml:space="preserve"> Ogólny stan techniczny budynku:</w:t>
      </w:r>
    </w:p>
    <w:p w14:paraId="0711746C" w14:textId="7EB4D1D5" w:rsidR="004D7EC7" w:rsidRDefault="004D7EC7" w:rsidP="004D7EC7">
      <w:pPr>
        <w:pStyle w:val="Akapitzlist"/>
        <w:spacing w:after="0"/>
        <w:ind w:left="1021"/>
        <w:rPr>
          <w:rFonts w:cstheme="minorHAnsi"/>
        </w:rPr>
      </w:pPr>
      <w:r>
        <w:rPr>
          <w:rFonts w:cstheme="minorHAnsi"/>
        </w:rPr>
        <w:t xml:space="preserve">- stan techniczny budynku określony jako </w:t>
      </w:r>
      <w:r w:rsidR="001D41FD">
        <w:rPr>
          <w:rFonts w:cstheme="minorHAnsi"/>
        </w:rPr>
        <w:t>zł</w:t>
      </w:r>
      <w:r w:rsidR="00111E30">
        <w:rPr>
          <w:rFonts w:cstheme="minorHAnsi"/>
        </w:rPr>
        <w:t>y</w:t>
      </w:r>
      <w:r w:rsidR="001D41FD">
        <w:rPr>
          <w:rFonts w:cstheme="minorHAnsi"/>
        </w:rPr>
        <w:t>, do kapitalnego remontu</w:t>
      </w:r>
      <w:r w:rsidRPr="007561E1">
        <w:rPr>
          <w:rFonts w:cstheme="minorHAnsi"/>
        </w:rPr>
        <w:t xml:space="preserve"> (</w:t>
      </w:r>
      <w:r w:rsidR="001D41FD">
        <w:rPr>
          <w:rFonts w:cstheme="minorHAnsi"/>
        </w:rPr>
        <w:t>minus</w:t>
      </w:r>
      <w:r w:rsidRPr="007561E1">
        <w:rPr>
          <w:rFonts w:cstheme="minorHAnsi"/>
        </w:rPr>
        <w:t xml:space="preserve"> </w:t>
      </w:r>
      <w:r w:rsidR="00111E30">
        <w:rPr>
          <w:rFonts w:cstheme="minorHAnsi"/>
        </w:rPr>
        <w:t>2</w:t>
      </w:r>
      <w:r w:rsidRPr="007561E1">
        <w:rPr>
          <w:rFonts w:cstheme="minorHAnsi"/>
        </w:rPr>
        <w:t>0%)</w:t>
      </w:r>
      <w:r>
        <w:rPr>
          <w:rFonts w:cstheme="minorHAnsi"/>
        </w:rPr>
        <w:t>.</w:t>
      </w:r>
    </w:p>
    <w:p w14:paraId="02AC100A" w14:textId="77777777" w:rsidR="00111E30" w:rsidRDefault="00111E30" w:rsidP="00111E30">
      <w:pPr>
        <w:spacing w:after="0"/>
        <w:rPr>
          <w:rFonts w:cstheme="minorHAnsi"/>
        </w:rPr>
      </w:pPr>
    </w:p>
    <w:p w14:paraId="1075E877" w14:textId="21620E2D" w:rsidR="00111E30" w:rsidRPr="00111E30" w:rsidRDefault="00111E30" w:rsidP="00111E30">
      <w:pPr>
        <w:spacing w:after="0"/>
        <w:rPr>
          <w:rFonts w:cstheme="minorHAnsi"/>
        </w:rPr>
      </w:pPr>
      <w:r>
        <w:rPr>
          <w:rFonts w:cstheme="minorHAnsi"/>
        </w:rPr>
        <w:t xml:space="preserve">5.Podwyżka stawki bazowej czynszu oraz obniżenie stawki bazowej czynszu następuje poprzez zsumowanie wszystkich występujących w danym lokalu czynników podwyższających i obniżających wartość użytkową lokalu. </w:t>
      </w:r>
    </w:p>
    <w:p w14:paraId="04AD5490" w14:textId="77777777" w:rsidR="00D410E2" w:rsidRPr="007561E1" w:rsidRDefault="00D410E2" w:rsidP="00D410E2">
      <w:pPr>
        <w:pStyle w:val="Tekstpodstawowy"/>
        <w:spacing w:line="300" w:lineRule="atLeast"/>
        <w:rPr>
          <w:rFonts w:asciiTheme="minorHAnsi" w:hAnsiTheme="minorHAnsi" w:cstheme="minorHAnsi"/>
          <w:sz w:val="22"/>
          <w:szCs w:val="22"/>
        </w:rPr>
      </w:pPr>
    </w:p>
    <w:p w14:paraId="5D1E4C39" w14:textId="65ED341E" w:rsidR="00D410E2" w:rsidRDefault="00111E30" w:rsidP="00D410E2">
      <w:pPr>
        <w:contextualSpacing/>
        <w:jc w:val="both"/>
      </w:pPr>
      <w:r>
        <w:t>6</w:t>
      </w:r>
      <w:r w:rsidR="00D410E2" w:rsidRPr="00997F49">
        <w:t>.</w:t>
      </w:r>
      <w:r w:rsidR="00D410E2">
        <w:rPr>
          <w:b/>
          <w:bCs/>
        </w:rPr>
        <w:t xml:space="preserve"> </w:t>
      </w:r>
      <w:r w:rsidR="00D410E2" w:rsidRPr="00D410E2">
        <w:t xml:space="preserve">Ustala się stawkę czynszu </w:t>
      </w:r>
      <w:r w:rsidR="00D410E2">
        <w:t xml:space="preserve">za najem socjalny lokalu w wysokości 50% stawki najniższego czynszu w zasobie mieszkaniowym Gminy Komorniki. </w:t>
      </w:r>
    </w:p>
    <w:p w14:paraId="39B673DB" w14:textId="77777777" w:rsidR="00504F65" w:rsidRDefault="00504F65" w:rsidP="00D410E2">
      <w:pPr>
        <w:contextualSpacing/>
        <w:jc w:val="both"/>
      </w:pPr>
    </w:p>
    <w:p w14:paraId="667AB1EB" w14:textId="7755C2C0" w:rsidR="00A6192D" w:rsidRPr="002E3E51" w:rsidRDefault="00111E30" w:rsidP="00D410E2">
      <w:pPr>
        <w:jc w:val="both"/>
        <w:rPr>
          <w:b/>
          <w:bCs/>
        </w:rPr>
      </w:pPr>
      <w:r>
        <w:t>7</w:t>
      </w:r>
      <w:r w:rsidR="00504F65" w:rsidRPr="00997F49">
        <w:t>.</w:t>
      </w:r>
      <w:r w:rsidR="00504F65" w:rsidRPr="00504F65">
        <w:rPr>
          <w:b/>
          <w:bCs/>
        </w:rPr>
        <w:t xml:space="preserve">  </w:t>
      </w:r>
      <w:r w:rsidR="00504F65" w:rsidRPr="00504F65">
        <w:t>Czynniki podwyższające i obniżające stawkę czynszu, o których mowa w ust. 2 nie dotyczą czynszu za najem socjalny lokalu.</w:t>
      </w:r>
    </w:p>
    <w:p w14:paraId="0EB560E1" w14:textId="6B7EF8BB" w:rsidR="00A6192D" w:rsidRDefault="00111E30" w:rsidP="00A6192D">
      <w:pPr>
        <w:contextualSpacing/>
        <w:jc w:val="both"/>
      </w:pPr>
      <w:r>
        <w:t>8</w:t>
      </w:r>
      <w:r w:rsidR="00A6192D" w:rsidRPr="00997F49">
        <w:t>.</w:t>
      </w:r>
      <w:r w:rsidR="00A6192D">
        <w:rPr>
          <w:b/>
          <w:bCs/>
        </w:rPr>
        <w:t xml:space="preserve"> </w:t>
      </w:r>
      <w:r w:rsidR="00A6192D" w:rsidRPr="00A6192D">
        <w:t>Polityka czynszowa</w:t>
      </w:r>
      <w:r w:rsidR="00A6192D">
        <w:rPr>
          <w:b/>
          <w:bCs/>
        </w:rPr>
        <w:t xml:space="preserve"> </w:t>
      </w:r>
      <w:r w:rsidR="00A6192D" w:rsidRPr="00A6192D">
        <w:t xml:space="preserve">gminy powinna być prowadzona w </w:t>
      </w:r>
      <w:r w:rsidR="00A6192D" w:rsidRPr="0012769C">
        <w:t>taki sposób,</w:t>
      </w:r>
      <w:r w:rsidR="00A6192D">
        <w:rPr>
          <w:b/>
          <w:bCs/>
        </w:rPr>
        <w:t xml:space="preserve"> </w:t>
      </w:r>
      <w:r w:rsidR="00A6192D">
        <w:t>aby wpływy z czynszów najmu</w:t>
      </w:r>
      <w:r w:rsidR="008218C1">
        <w:t xml:space="preserve"> </w:t>
      </w:r>
      <w:r w:rsidR="00A6192D">
        <w:t>umo</w:t>
      </w:r>
      <w:r w:rsidR="008218C1">
        <w:t>ż</w:t>
      </w:r>
      <w:r w:rsidR="00A6192D">
        <w:t xml:space="preserve">liwiły samowystarczalność gospodarki mieszkaniowej. </w:t>
      </w:r>
      <w:r w:rsidR="0012769C">
        <w:t>Należy</w:t>
      </w:r>
      <w:r w:rsidR="008218C1">
        <w:t xml:space="preserve"> realizować polityk</w:t>
      </w:r>
      <w:r w:rsidR="00E87958">
        <w:t>ę</w:t>
      </w:r>
      <w:r w:rsidR="008218C1">
        <w:t xml:space="preserve"> czynszow</w:t>
      </w:r>
      <w:r w:rsidR="00E87958">
        <w:t xml:space="preserve">ą w taki sposób, aby ograniczyć do minimum konieczność dopłaty  z budżetu gminy do utrzymania zasobu mieszkaniowego. Ponadto pożądanym jest stan, w którym wpływy z czynszów pozwolą na pokrycie nie tylko kosztów bieżącego utrzymania i eksploatacji budynków, ale również na realizację niezbędnych prac remontowych.  </w:t>
      </w:r>
    </w:p>
    <w:p w14:paraId="3B90168F" w14:textId="37F44116" w:rsidR="00B74F6D" w:rsidRDefault="00111E30" w:rsidP="00B74F6D">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9</w:t>
      </w:r>
      <w:r w:rsidR="00B74F6D" w:rsidRPr="00997F49">
        <w:rPr>
          <w:rFonts w:asciiTheme="minorHAnsi" w:hAnsiTheme="minorHAnsi" w:cstheme="minorHAnsi"/>
          <w:sz w:val="22"/>
          <w:szCs w:val="22"/>
        </w:rPr>
        <w:t>.</w:t>
      </w:r>
      <w:r w:rsidR="00B74F6D">
        <w:rPr>
          <w:rFonts w:asciiTheme="minorHAnsi" w:hAnsiTheme="minorHAnsi" w:cstheme="minorHAnsi"/>
          <w:sz w:val="22"/>
          <w:szCs w:val="22"/>
        </w:rPr>
        <w:t xml:space="preserve"> </w:t>
      </w:r>
      <w:r w:rsidR="00B74F6D" w:rsidRPr="00B74F6D">
        <w:rPr>
          <w:rFonts w:asciiTheme="minorHAnsi" w:hAnsiTheme="minorHAnsi" w:cstheme="minorHAnsi"/>
          <w:sz w:val="22"/>
          <w:szCs w:val="22"/>
        </w:rPr>
        <w:t xml:space="preserve">Wysokość czynszu z uwzględnieniem czynników, o których mowa w </w:t>
      </w:r>
      <w:r w:rsidR="00B74F6D">
        <w:rPr>
          <w:rFonts w:asciiTheme="minorHAnsi" w:hAnsiTheme="minorHAnsi" w:cstheme="minorHAnsi"/>
          <w:sz w:val="22"/>
          <w:szCs w:val="22"/>
        </w:rPr>
        <w:t>ust.</w:t>
      </w:r>
      <w:r w:rsidR="00B74F6D" w:rsidRPr="00B74F6D">
        <w:rPr>
          <w:rFonts w:asciiTheme="minorHAnsi" w:hAnsiTheme="minorHAnsi" w:cstheme="minorHAnsi"/>
          <w:sz w:val="22"/>
          <w:szCs w:val="22"/>
        </w:rPr>
        <w:t xml:space="preserve"> 2 w stosunku do lokali objętych dotychczasowymi umowami najmu zostanie przeliczona przy najbliższej aktualizacji stawki czynszu, która zostanie ustalona zarządzeniem Wójta Gminy Komorniki.</w:t>
      </w:r>
    </w:p>
    <w:p w14:paraId="0D8C71BA" w14:textId="77777777" w:rsidR="0031507A" w:rsidRPr="00B74F6D" w:rsidRDefault="0031507A" w:rsidP="00B74F6D">
      <w:pPr>
        <w:pStyle w:val="Tekstpodstawowy"/>
        <w:spacing w:line="300" w:lineRule="atLeast"/>
        <w:rPr>
          <w:rFonts w:asciiTheme="minorHAnsi" w:hAnsiTheme="minorHAnsi" w:cstheme="minorHAnsi"/>
          <w:sz w:val="22"/>
          <w:szCs w:val="22"/>
        </w:rPr>
      </w:pPr>
    </w:p>
    <w:p w14:paraId="18CDA77C" w14:textId="4271A27E" w:rsidR="00B74F6D" w:rsidRDefault="00111E30" w:rsidP="00B74F6D">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lastRenderedPageBreak/>
        <w:t>10</w:t>
      </w:r>
      <w:r w:rsidR="00B74F6D" w:rsidRPr="00997F49">
        <w:rPr>
          <w:rFonts w:asciiTheme="minorHAnsi" w:hAnsiTheme="minorHAnsi" w:cstheme="minorHAnsi"/>
          <w:sz w:val="22"/>
          <w:szCs w:val="22"/>
        </w:rPr>
        <w:t>.</w:t>
      </w:r>
      <w:r w:rsidR="00B74F6D">
        <w:rPr>
          <w:rFonts w:asciiTheme="minorHAnsi" w:hAnsiTheme="minorHAnsi" w:cstheme="minorHAnsi"/>
          <w:sz w:val="22"/>
          <w:szCs w:val="22"/>
        </w:rPr>
        <w:t xml:space="preserve"> </w:t>
      </w:r>
      <w:r w:rsidR="00B74F6D" w:rsidRPr="00B74F6D">
        <w:rPr>
          <w:rFonts w:asciiTheme="minorHAnsi" w:hAnsiTheme="minorHAnsi" w:cstheme="minorHAnsi"/>
          <w:sz w:val="22"/>
          <w:szCs w:val="22"/>
        </w:rPr>
        <w:t>W przypadku, gdy najemca na swój koszt, za zgodą wynajmującego, dokona ulepszeń istniejącego lokalu, czynsz najmu lokalu nalicza się w wysokości nieuwzgledniającej ulepszenia.</w:t>
      </w:r>
    </w:p>
    <w:p w14:paraId="15F0574B" w14:textId="77777777" w:rsidR="00B74F6D" w:rsidRPr="00B74F6D" w:rsidRDefault="00B74F6D" w:rsidP="00B74F6D">
      <w:pPr>
        <w:pStyle w:val="Tekstpodstawowy"/>
        <w:spacing w:line="300" w:lineRule="atLeast"/>
        <w:rPr>
          <w:rFonts w:asciiTheme="minorHAnsi" w:hAnsiTheme="minorHAnsi" w:cstheme="minorHAnsi"/>
          <w:sz w:val="22"/>
          <w:szCs w:val="22"/>
        </w:rPr>
      </w:pPr>
    </w:p>
    <w:p w14:paraId="77F4D622" w14:textId="52F16F57" w:rsidR="00B74F6D" w:rsidRDefault="00111E30" w:rsidP="0031507A">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11</w:t>
      </w:r>
      <w:r w:rsidR="00B74F6D" w:rsidRPr="00997F49">
        <w:rPr>
          <w:rFonts w:asciiTheme="minorHAnsi" w:hAnsiTheme="minorHAnsi" w:cstheme="minorHAnsi"/>
          <w:sz w:val="22"/>
          <w:szCs w:val="22"/>
        </w:rPr>
        <w:t>.</w:t>
      </w:r>
      <w:r w:rsidR="00B74F6D">
        <w:rPr>
          <w:rFonts w:asciiTheme="minorHAnsi" w:hAnsiTheme="minorHAnsi" w:cstheme="minorHAnsi"/>
          <w:sz w:val="22"/>
          <w:szCs w:val="22"/>
        </w:rPr>
        <w:t xml:space="preserve"> </w:t>
      </w:r>
      <w:r w:rsidR="00B74F6D" w:rsidRPr="00B74F6D">
        <w:rPr>
          <w:rFonts w:asciiTheme="minorHAnsi" w:hAnsiTheme="minorHAnsi" w:cstheme="minorHAnsi"/>
          <w:sz w:val="22"/>
          <w:szCs w:val="22"/>
        </w:rPr>
        <w:t>W przypadku, gdy najemca na koszt wynajmującego, za zgodą wynajmującego, dokonał ulepszeń istniejącego lokalu, czynsz najmu lokalu nalicza się zgodnie z zasadami określonymi w ust.2</w:t>
      </w:r>
      <w:r w:rsidR="00B74F6D">
        <w:rPr>
          <w:rFonts w:asciiTheme="minorHAnsi" w:hAnsiTheme="minorHAnsi" w:cstheme="minorHAnsi"/>
          <w:sz w:val="22"/>
          <w:szCs w:val="22"/>
        </w:rPr>
        <w:t>.</w:t>
      </w:r>
    </w:p>
    <w:p w14:paraId="658BF2E6" w14:textId="77777777" w:rsidR="0031507A" w:rsidRPr="0031507A" w:rsidRDefault="0031507A" w:rsidP="0031507A">
      <w:pPr>
        <w:pStyle w:val="Tekstpodstawowy"/>
        <w:spacing w:line="300" w:lineRule="atLeast"/>
        <w:rPr>
          <w:rFonts w:asciiTheme="minorHAnsi" w:hAnsiTheme="minorHAnsi" w:cstheme="minorHAnsi"/>
          <w:sz w:val="22"/>
          <w:szCs w:val="22"/>
        </w:rPr>
      </w:pPr>
    </w:p>
    <w:p w14:paraId="13A2C086" w14:textId="237558A2" w:rsidR="00504F65" w:rsidRPr="00504F65" w:rsidRDefault="00504F65" w:rsidP="00504F65">
      <w:pPr>
        <w:pStyle w:val="Tekstpodstawowy"/>
        <w:spacing w:line="300" w:lineRule="atLeast"/>
        <w:rPr>
          <w:rFonts w:asciiTheme="minorHAnsi" w:hAnsiTheme="minorHAnsi" w:cstheme="minorHAnsi"/>
          <w:sz w:val="22"/>
          <w:szCs w:val="22"/>
        </w:rPr>
      </w:pPr>
      <w:r w:rsidRPr="00504F65">
        <w:rPr>
          <w:rFonts w:asciiTheme="minorHAnsi" w:hAnsiTheme="minorHAnsi" w:cstheme="minorHAnsi"/>
          <w:b/>
          <w:bCs/>
          <w:sz w:val="22"/>
          <w:szCs w:val="22"/>
        </w:rPr>
        <w:t xml:space="preserve">§ 8. </w:t>
      </w:r>
      <w:r w:rsidRPr="00997F49">
        <w:rPr>
          <w:rFonts w:asciiTheme="minorHAnsi" w:hAnsiTheme="minorHAnsi" w:cstheme="minorHAnsi"/>
          <w:sz w:val="22"/>
          <w:szCs w:val="22"/>
        </w:rPr>
        <w:t>1.</w:t>
      </w:r>
      <w:r>
        <w:rPr>
          <w:rFonts w:asciiTheme="minorHAnsi" w:hAnsiTheme="minorHAnsi" w:cstheme="minorHAnsi"/>
          <w:sz w:val="22"/>
          <w:szCs w:val="22"/>
        </w:rPr>
        <w:t xml:space="preserve"> </w:t>
      </w:r>
      <w:r w:rsidRPr="00504F65">
        <w:rPr>
          <w:rFonts w:asciiTheme="minorHAnsi" w:hAnsiTheme="minorHAnsi" w:cstheme="minorHAnsi"/>
          <w:sz w:val="22"/>
          <w:szCs w:val="22"/>
        </w:rPr>
        <w:t>Ustala się następujące warunki obniżania czynszu lokalu:</w:t>
      </w:r>
    </w:p>
    <w:p w14:paraId="65C0890D" w14:textId="77777777" w:rsidR="00504F65" w:rsidRPr="00504F65" w:rsidRDefault="00504F65" w:rsidP="00504F65">
      <w:pPr>
        <w:pStyle w:val="Tekstpodstawowy"/>
        <w:numPr>
          <w:ilvl w:val="2"/>
          <w:numId w:val="12"/>
        </w:numPr>
        <w:spacing w:line="300" w:lineRule="atLeast"/>
        <w:rPr>
          <w:rFonts w:asciiTheme="minorHAnsi" w:hAnsiTheme="minorHAnsi" w:cstheme="minorHAnsi"/>
          <w:sz w:val="22"/>
          <w:szCs w:val="22"/>
        </w:rPr>
      </w:pPr>
      <w:r w:rsidRPr="00504F65">
        <w:rPr>
          <w:rFonts w:asciiTheme="minorHAnsi" w:hAnsiTheme="minorHAnsi" w:cstheme="minorHAnsi"/>
          <w:sz w:val="22"/>
          <w:szCs w:val="22"/>
        </w:rPr>
        <w:t>obniżka czynszu najmu lokalu następuje na wniosek najemcy,</w:t>
      </w:r>
    </w:p>
    <w:p w14:paraId="2656B6A7" w14:textId="33888FD3" w:rsidR="00504F65" w:rsidRPr="00504F65" w:rsidRDefault="00504F65" w:rsidP="00504F65">
      <w:pPr>
        <w:pStyle w:val="Tekstpodstawowy"/>
        <w:numPr>
          <w:ilvl w:val="2"/>
          <w:numId w:val="12"/>
        </w:numPr>
        <w:spacing w:line="300" w:lineRule="atLeast"/>
        <w:rPr>
          <w:rFonts w:asciiTheme="minorHAnsi" w:hAnsiTheme="minorHAnsi" w:cstheme="minorHAnsi"/>
          <w:sz w:val="22"/>
          <w:szCs w:val="22"/>
        </w:rPr>
      </w:pPr>
      <w:r w:rsidRPr="00504F65">
        <w:rPr>
          <w:rFonts w:asciiTheme="minorHAnsi" w:hAnsiTheme="minorHAnsi" w:cstheme="minorHAnsi"/>
          <w:sz w:val="22"/>
          <w:szCs w:val="22"/>
        </w:rPr>
        <w:t xml:space="preserve">obniżki czynszu najmu lokalu udziela się na okres </w:t>
      </w:r>
      <w:r w:rsidR="002E3E51">
        <w:rPr>
          <w:rFonts w:asciiTheme="minorHAnsi" w:hAnsiTheme="minorHAnsi" w:cstheme="minorHAnsi"/>
          <w:sz w:val="22"/>
          <w:szCs w:val="22"/>
        </w:rPr>
        <w:t>12</w:t>
      </w:r>
      <w:r w:rsidRPr="00504F65">
        <w:rPr>
          <w:rFonts w:asciiTheme="minorHAnsi" w:hAnsiTheme="minorHAnsi" w:cstheme="minorHAnsi"/>
          <w:sz w:val="22"/>
          <w:szCs w:val="22"/>
        </w:rPr>
        <w:t xml:space="preserve"> miesięcy, liczony od pierwszego dnia miesiąca następującego po złożeniu wniosku i deklaracji o wysokości dochodów członków gospodarstwa domowego, z zastrzeżeniem pkt 4,</w:t>
      </w:r>
    </w:p>
    <w:p w14:paraId="67A9F2F7" w14:textId="77777777" w:rsidR="00504F65" w:rsidRPr="00504F65" w:rsidRDefault="00504F65" w:rsidP="00504F65">
      <w:pPr>
        <w:pStyle w:val="Tekstpodstawowy"/>
        <w:numPr>
          <w:ilvl w:val="2"/>
          <w:numId w:val="12"/>
        </w:numPr>
        <w:spacing w:line="300" w:lineRule="atLeast"/>
        <w:rPr>
          <w:rFonts w:asciiTheme="minorHAnsi" w:hAnsiTheme="minorHAnsi" w:cstheme="minorHAnsi"/>
          <w:sz w:val="22"/>
          <w:szCs w:val="22"/>
        </w:rPr>
      </w:pPr>
      <w:r w:rsidRPr="00504F65">
        <w:rPr>
          <w:rFonts w:asciiTheme="minorHAnsi" w:hAnsiTheme="minorHAnsi" w:cstheme="minorHAnsi"/>
          <w:sz w:val="22"/>
          <w:szCs w:val="22"/>
        </w:rPr>
        <w:t>zmiany danych zawartych we wniosku lub deklaracji złożonej przez wnioskodawcę, które nastąpiły w okresie 6 miesięcy od dnia przyznania obniżki czynszu najmu lokalu, z wyłączeniem utraty tytułu prawnego do lokalu, wygaśnięcia lub rozwiązania umowy najmu, nie maja wpływu na przyznaną obniżkę,</w:t>
      </w:r>
    </w:p>
    <w:p w14:paraId="7DDAE6D0" w14:textId="77777777" w:rsidR="00504F65" w:rsidRPr="00504F65" w:rsidRDefault="00504F65" w:rsidP="00504F65">
      <w:pPr>
        <w:pStyle w:val="Tekstpodstawowy"/>
        <w:numPr>
          <w:ilvl w:val="2"/>
          <w:numId w:val="12"/>
        </w:numPr>
        <w:spacing w:line="300" w:lineRule="atLeast"/>
        <w:rPr>
          <w:rFonts w:asciiTheme="minorHAnsi" w:hAnsiTheme="minorHAnsi" w:cstheme="minorHAnsi"/>
          <w:sz w:val="22"/>
          <w:szCs w:val="22"/>
        </w:rPr>
      </w:pPr>
      <w:r w:rsidRPr="00504F65">
        <w:rPr>
          <w:rFonts w:asciiTheme="minorHAnsi" w:hAnsiTheme="minorHAnsi" w:cstheme="minorHAnsi"/>
          <w:sz w:val="22"/>
          <w:szCs w:val="22"/>
        </w:rPr>
        <w:t>obniżka czynszu najmu lokalu przysługuje najemcy, który:</w:t>
      </w:r>
    </w:p>
    <w:p w14:paraId="51D5A7C8" w14:textId="7B42FBB2" w:rsidR="00504F65" w:rsidRDefault="007E702F" w:rsidP="007E702F">
      <w:pPr>
        <w:pStyle w:val="Tekstpodstawowy"/>
        <w:ind w:left="851"/>
        <w:rPr>
          <w:rFonts w:asciiTheme="minorHAnsi" w:hAnsiTheme="minorHAnsi" w:cstheme="minorHAnsi"/>
          <w:sz w:val="22"/>
          <w:szCs w:val="22"/>
        </w:rPr>
      </w:pPr>
      <w:r w:rsidRPr="007E702F">
        <w:rPr>
          <w:rFonts w:asciiTheme="minorHAnsi" w:hAnsiTheme="minorHAnsi" w:cstheme="minorHAnsi"/>
          <w:sz w:val="22"/>
          <w:szCs w:val="22"/>
        </w:rPr>
        <w:t>a)</w:t>
      </w:r>
      <w:r>
        <w:rPr>
          <w:rFonts w:asciiTheme="minorHAnsi" w:hAnsiTheme="minorHAnsi" w:cstheme="minorHAnsi"/>
          <w:sz w:val="22"/>
          <w:szCs w:val="22"/>
        </w:rPr>
        <w:t xml:space="preserve"> </w:t>
      </w:r>
      <w:r w:rsidR="00504F65" w:rsidRPr="00504F65">
        <w:rPr>
          <w:rFonts w:asciiTheme="minorHAnsi" w:hAnsiTheme="minorHAnsi" w:cstheme="minorHAnsi"/>
          <w:sz w:val="22"/>
          <w:szCs w:val="22"/>
        </w:rPr>
        <w:t>nie pobiera dodatku mieszkaniowego,</w:t>
      </w:r>
    </w:p>
    <w:p w14:paraId="2C3D1D60" w14:textId="24E1D5F7" w:rsidR="007E702F" w:rsidRPr="00504F65" w:rsidRDefault="007E702F" w:rsidP="007E702F">
      <w:pPr>
        <w:pStyle w:val="Tekstpodstawowy"/>
        <w:ind w:left="851"/>
        <w:rPr>
          <w:rFonts w:asciiTheme="minorHAnsi" w:hAnsiTheme="minorHAnsi" w:cstheme="minorHAnsi"/>
          <w:sz w:val="22"/>
          <w:szCs w:val="22"/>
        </w:rPr>
      </w:pPr>
      <w:r>
        <w:rPr>
          <w:rFonts w:asciiTheme="minorHAnsi" w:hAnsiTheme="minorHAnsi" w:cstheme="minorHAnsi"/>
          <w:sz w:val="22"/>
          <w:szCs w:val="22"/>
        </w:rPr>
        <w:t>b) zawarły umowę najmu na czas nieoznaczony,</w:t>
      </w:r>
    </w:p>
    <w:p w14:paraId="0C9284FE" w14:textId="78F36E82" w:rsidR="00504F65" w:rsidRPr="00504F65" w:rsidRDefault="007E702F" w:rsidP="00504F65">
      <w:pPr>
        <w:pStyle w:val="Tekstpodstawowy"/>
        <w:ind w:left="851"/>
        <w:rPr>
          <w:rFonts w:asciiTheme="minorHAnsi" w:hAnsiTheme="minorHAnsi" w:cstheme="minorHAnsi"/>
          <w:sz w:val="22"/>
          <w:szCs w:val="22"/>
        </w:rPr>
      </w:pPr>
      <w:r>
        <w:rPr>
          <w:rFonts w:asciiTheme="minorHAnsi" w:hAnsiTheme="minorHAnsi" w:cstheme="minorHAnsi"/>
          <w:sz w:val="22"/>
          <w:szCs w:val="22"/>
        </w:rPr>
        <w:t>c</w:t>
      </w:r>
      <w:r w:rsidR="00504F65" w:rsidRPr="00504F65">
        <w:rPr>
          <w:rFonts w:asciiTheme="minorHAnsi" w:hAnsiTheme="minorHAnsi" w:cstheme="minorHAnsi"/>
          <w:sz w:val="22"/>
          <w:szCs w:val="22"/>
        </w:rPr>
        <w:t>) nie posiada zaległości w opłatach za używanie lokalu lub za zgodą wynajmującego podpisał ugodę w sprawie spłaty zaległości w ratach lub umorzenia zaległości,</w:t>
      </w:r>
    </w:p>
    <w:p w14:paraId="6C04B5E0" w14:textId="07A6302E" w:rsidR="00504F65" w:rsidRPr="00504F65" w:rsidRDefault="007E702F" w:rsidP="00504F65">
      <w:pPr>
        <w:pStyle w:val="Tekstpodstawowy"/>
        <w:spacing w:line="300" w:lineRule="atLeast"/>
        <w:ind w:left="851"/>
        <w:rPr>
          <w:rFonts w:asciiTheme="minorHAnsi" w:hAnsiTheme="minorHAnsi" w:cstheme="minorHAnsi"/>
          <w:sz w:val="22"/>
          <w:szCs w:val="22"/>
        </w:rPr>
      </w:pPr>
      <w:r>
        <w:rPr>
          <w:rFonts w:asciiTheme="minorHAnsi" w:hAnsiTheme="minorHAnsi" w:cstheme="minorHAnsi"/>
          <w:sz w:val="22"/>
          <w:szCs w:val="22"/>
        </w:rPr>
        <w:t>d</w:t>
      </w:r>
      <w:r w:rsidR="00504F65" w:rsidRPr="00504F65">
        <w:rPr>
          <w:rFonts w:asciiTheme="minorHAnsi" w:hAnsiTheme="minorHAnsi" w:cstheme="minorHAnsi"/>
          <w:sz w:val="22"/>
          <w:szCs w:val="22"/>
        </w:rPr>
        <w:t>) nie odmówił przyjęcia zaproponowanego przez wynajmującego lokalu spełniającego warunki lokalu zamiennego, o niższych kosztach utrzymania,</w:t>
      </w:r>
    </w:p>
    <w:p w14:paraId="160182F9" w14:textId="3ABB179E" w:rsidR="00B11EC0" w:rsidRDefault="007E702F" w:rsidP="00B11EC0">
      <w:pPr>
        <w:pStyle w:val="Tekstpodstawowy"/>
        <w:spacing w:line="300" w:lineRule="atLeast"/>
        <w:ind w:left="851"/>
        <w:rPr>
          <w:rFonts w:asciiTheme="minorHAnsi" w:hAnsiTheme="minorHAnsi" w:cstheme="minorHAnsi"/>
          <w:sz w:val="22"/>
          <w:szCs w:val="22"/>
        </w:rPr>
      </w:pPr>
      <w:r>
        <w:rPr>
          <w:rFonts w:asciiTheme="minorHAnsi" w:hAnsiTheme="minorHAnsi" w:cstheme="minorHAnsi"/>
          <w:sz w:val="22"/>
          <w:szCs w:val="22"/>
        </w:rPr>
        <w:t>e</w:t>
      </w:r>
      <w:r w:rsidR="00504F65" w:rsidRPr="00504F65">
        <w:rPr>
          <w:rFonts w:asciiTheme="minorHAnsi" w:hAnsiTheme="minorHAnsi" w:cstheme="minorHAnsi"/>
          <w:sz w:val="22"/>
          <w:szCs w:val="22"/>
        </w:rPr>
        <w:t>) spełnia kryteria dochodowe uprawniające do obniżki czynszu określone w uchwale Rady Gminy Komorniki w sprawie zasad wynajmowania lokali wchodzących w skład mieszkaniowego zasobu Gminy Komorniki</w:t>
      </w:r>
      <w:r w:rsidR="00B11EC0">
        <w:rPr>
          <w:rFonts w:asciiTheme="minorHAnsi" w:hAnsiTheme="minorHAnsi" w:cstheme="minorHAnsi"/>
          <w:sz w:val="22"/>
          <w:szCs w:val="22"/>
        </w:rPr>
        <w:t>,</w:t>
      </w:r>
    </w:p>
    <w:p w14:paraId="4EC43CAF" w14:textId="28DCD591" w:rsidR="008F779F" w:rsidRPr="00504F65" w:rsidRDefault="008F779F" w:rsidP="008F779F">
      <w:pPr>
        <w:pStyle w:val="Tekstpodstawowy"/>
        <w:numPr>
          <w:ilvl w:val="2"/>
          <w:numId w:val="12"/>
        </w:numPr>
        <w:spacing w:line="300" w:lineRule="atLeast"/>
        <w:rPr>
          <w:rFonts w:asciiTheme="minorHAnsi" w:hAnsiTheme="minorHAnsi" w:cstheme="minorHAnsi"/>
          <w:sz w:val="22"/>
          <w:szCs w:val="22"/>
        </w:rPr>
      </w:pPr>
      <w:r w:rsidRPr="00504F65">
        <w:rPr>
          <w:rFonts w:asciiTheme="minorHAnsi" w:hAnsiTheme="minorHAnsi" w:cstheme="minorHAnsi"/>
          <w:sz w:val="22"/>
          <w:szCs w:val="22"/>
        </w:rPr>
        <w:t>obniżka czynszu najmu lokalu</w:t>
      </w:r>
      <w:r>
        <w:rPr>
          <w:rFonts w:asciiTheme="minorHAnsi" w:hAnsiTheme="minorHAnsi" w:cstheme="minorHAnsi"/>
          <w:sz w:val="22"/>
          <w:szCs w:val="22"/>
        </w:rPr>
        <w:t xml:space="preserve"> nie</w:t>
      </w:r>
      <w:r w:rsidRPr="00504F65">
        <w:rPr>
          <w:rFonts w:asciiTheme="minorHAnsi" w:hAnsiTheme="minorHAnsi" w:cstheme="minorHAnsi"/>
          <w:sz w:val="22"/>
          <w:szCs w:val="22"/>
        </w:rPr>
        <w:t xml:space="preserve"> przysługuje najemcy, który:</w:t>
      </w:r>
    </w:p>
    <w:p w14:paraId="5958EF72" w14:textId="02FCF8CF" w:rsidR="008F779F" w:rsidRDefault="008F779F" w:rsidP="008F779F">
      <w:pPr>
        <w:pStyle w:val="Tekstpodstawowy"/>
        <w:ind w:left="851"/>
        <w:rPr>
          <w:rFonts w:asciiTheme="minorHAnsi" w:hAnsiTheme="minorHAnsi" w:cstheme="minorHAnsi"/>
          <w:sz w:val="22"/>
          <w:szCs w:val="22"/>
        </w:rPr>
      </w:pPr>
      <w:r w:rsidRPr="007E702F">
        <w:rPr>
          <w:rFonts w:asciiTheme="minorHAnsi" w:hAnsiTheme="minorHAnsi" w:cstheme="minorHAnsi"/>
          <w:sz w:val="22"/>
          <w:szCs w:val="22"/>
        </w:rPr>
        <w:t>a)</w:t>
      </w:r>
      <w:r>
        <w:rPr>
          <w:rFonts w:asciiTheme="minorHAnsi" w:hAnsiTheme="minorHAnsi" w:cstheme="minorHAnsi"/>
          <w:sz w:val="22"/>
          <w:szCs w:val="22"/>
        </w:rPr>
        <w:t xml:space="preserve"> </w:t>
      </w:r>
      <w:r w:rsidRPr="00504F65">
        <w:rPr>
          <w:rFonts w:asciiTheme="minorHAnsi" w:hAnsiTheme="minorHAnsi" w:cstheme="minorHAnsi"/>
          <w:sz w:val="22"/>
          <w:szCs w:val="22"/>
        </w:rPr>
        <w:t>pobiera dodat</w:t>
      </w:r>
      <w:r w:rsidR="00C21BF1">
        <w:rPr>
          <w:rFonts w:asciiTheme="minorHAnsi" w:hAnsiTheme="minorHAnsi" w:cstheme="minorHAnsi"/>
          <w:sz w:val="22"/>
          <w:szCs w:val="22"/>
        </w:rPr>
        <w:t>ek</w:t>
      </w:r>
      <w:r w:rsidRPr="00504F65">
        <w:rPr>
          <w:rFonts w:asciiTheme="minorHAnsi" w:hAnsiTheme="minorHAnsi" w:cstheme="minorHAnsi"/>
          <w:sz w:val="22"/>
          <w:szCs w:val="22"/>
        </w:rPr>
        <w:t xml:space="preserve"> mieszkaniow</w:t>
      </w:r>
      <w:r w:rsidR="00C21BF1">
        <w:rPr>
          <w:rFonts w:asciiTheme="minorHAnsi" w:hAnsiTheme="minorHAnsi" w:cstheme="minorHAnsi"/>
          <w:sz w:val="22"/>
          <w:szCs w:val="22"/>
        </w:rPr>
        <w:t>y</w:t>
      </w:r>
      <w:r w:rsidRPr="00504F65">
        <w:rPr>
          <w:rFonts w:asciiTheme="minorHAnsi" w:hAnsiTheme="minorHAnsi" w:cstheme="minorHAnsi"/>
          <w:sz w:val="22"/>
          <w:szCs w:val="22"/>
        </w:rPr>
        <w:t>,</w:t>
      </w:r>
    </w:p>
    <w:p w14:paraId="43E6DB81" w14:textId="066DDD24" w:rsidR="008F779F" w:rsidRPr="00504F65" w:rsidRDefault="008F779F" w:rsidP="008F779F">
      <w:pPr>
        <w:pStyle w:val="Tekstpodstawowy"/>
        <w:ind w:left="851"/>
        <w:rPr>
          <w:rFonts w:asciiTheme="minorHAnsi" w:hAnsiTheme="minorHAnsi" w:cstheme="minorHAnsi"/>
          <w:sz w:val="22"/>
          <w:szCs w:val="22"/>
        </w:rPr>
      </w:pPr>
      <w:r>
        <w:rPr>
          <w:rFonts w:asciiTheme="minorHAnsi" w:hAnsiTheme="minorHAnsi" w:cstheme="minorHAnsi"/>
          <w:sz w:val="22"/>
          <w:szCs w:val="22"/>
        </w:rPr>
        <w:t>b) otrzymał wypowiedzenie umowy najmu lokalu,</w:t>
      </w:r>
    </w:p>
    <w:p w14:paraId="0A7FBDB5" w14:textId="52F39FF6" w:rsidR="008F779F" w:rsidRPr="00504F65" w:rsidRDefault="008F779F" w:rsidP="008F779F">
      <w:pPr>
        <w:pStyle w:val="Tekstpodstawowy"/>
        <w:ind w:left="851"/>
        <w:rPr>
          <w:rFonts w:asciiTheme="minorHAnsi" w:hAnsiTheme="minorHAnsi" w:cstheme="minorHAnsi"/>
          <w:sz w:val="22"/>
          <w:szCs w:val="22"/>
        </w:rPr>
      </w:pPr>
      <w:r>
        <w:rPr>
          <w:rFonts w:asciiTheme="minorHAnsi" w:hAnsiTheme="minorHAnsi" w:cstheme="minorHAnsi"/>
          <w:sz w:val="22"/>
          <w:szCs w:val="22"/>
        </w:rPr>
        <w:t>c</w:t>
      </w:r>
      <w:r w:rsidRPr="00504F65">
        <w:rPr>
          <w:rFonts w:asciiTheme="minorHAnsi" w:hAnsiTheme="minorHAnsi" w:cstheme="minorHAnsi"/>
          <w:sz w:val="22"/>
          <w:szCs w:val="22"/>
        </w:rPr>
        <w:t xml:space="preserve">) </w:t>
      </w:r>
      <w:r w:rsidR="00C21BF1">
        <w:rPr>
          <w:rFonts w:asciiTheme="minorHAnsi" w:hAnsiTheme="minorHAnsi" w:cstheme="minorHAnsi"/>
          <w:sz w:val="22"/>
          <w:szCs w:val="22"/>
        </w:rPr>
        <w:t>posiada</w:t>
      </w:r>
      <w:r w:rsidRPr="00504F65">
        <w:rPr>
          <w:rFonts w:asciiTheme="minorHAnsi" w:hAnsiTheme="minorHAnsi" w:cstheme="minorHAnsi"/>
          <w:sz w:val="22"/>
          <w:szCs w:val="22"/>
        </w:rPr>
        <w:t xml:space="preserve"> zaległości w opłatach za </w:t>
      </w:r>
      <w:r w:rsidR="00C21BF1">
        <w:rPr>
          <w:rFonts w:asciiTheme="minorHAnsi" w:hAnsiTheme="minorHAnsi" w:cstheme="minorHAnsi"/>
          <w:sz w:val="22"/>
          <w:szCs w:val="22"/>
        </w:rPr>
        <w:t>czynsz najmu</w:t>
      </w:r>
      <w:r w:rsidRPr="00504F65">
        <w:rPr>
          <w:rFonts w:asciiTheme="minorHAnsi" w:hAnsiTheme="minorHAnsi" w:cstheme="minorHAnsi"/>
          <w:sz w:val="22"/>
          <w:szCs w:val="22"/>
        </w:rPr>
        <w:t xml:space="preserve"> lokalu</w:t>
      </w:r>
      <w:r w:rsidR="00C21BF1">
        <w:rPr>
          <w:rFonts w:asciiTheme="minorHAnsi" w:hAnsiTheme="minorHAnsi" w:cstheme="minorHAnsi"/>
          <w:sz w:val="22"/>
          <w:szCs w:val="22"/>
        </w:rPr>
        <w:t xml:space="preserve"> oraz innych należnych opłatach</w:t>
      </w:r>
      <w:r w:rsidRPr="00504F65">
        <w:rPr>
          <w:rFonts w:asciiTheme="minorHAnsi" w:hAnsiTheme="minorHAnsi" w:cstheme="minorHAnsi"/>
          <w:sz w:val="22"/>
          <w:szCs w:val="22"/>
        </w:rPr>
        <w:t>,</w:t>
      </w:r>
    </w:p>
    <w:p w14:paraId="619D7410" w14:textId="6640DF08" w:rsidR="008F779F" w:rsidRPr="00504F65" w:rsidRDefault="008F779F" w:rsidP="008F779F">
      <w:pPr>
        <w:pStyle w:val="Tekstpodstawowy"/>
        <w:spacing w:line="300" w:lineRule="atLeast"/>
        <w:ind w:left="851"/>
        <w:rPr>
          <w:rFonts w:asciiTheme="minorHAnsi" w:hAnsiTheme="minorHAnsi" w:cstheme="minorHAnsi"/>
          <w:sz w:val="22"/>
          <w:szCs w:val="22"/>
        </w:rPr>
      </w:pPr>
      <w:r>
        <w:rPr>
          <w:rFonts w:asciiTheme="minorHAnsi" w:hAnsiTheme="minorHAnsi" w:cstheme="minorHAnsi"/>
          <w:sz w:val="22"/>
          <w:szCs w:val="22"/>
        </w:rPr>
        <w:t>d</w:t>
      </w:r>
      <w:r w:rsidRPr="00504F65">
        <w:rPr>
          <w:rFonts w:asciiTheme="minorHAnsi" w:hAnsiTheme="minorHAnsi" w:cstheme="minorHAnsi"/>
          <w:sz w:val="22"/>
          <w:szCs w:val="22"/>
        </w:rPr>
        <w:t>)</w:t>
      </w:r>
      <w:r>
        <w:rPr>
          <w:rFonts w:asciiTheme="minorHAnsi" w:hAnsiTheme="minorHAnsi" w:cstheme="minorHAnsi"/>
          <w:sz w:val="22"/>
          <w:szCs w:val="22"/>
        </w:rPr>
        <w:t xml:space="preserve"> zajmuje lokal na podstawie najmu socjalnego lokalu</w:t>
      </w:r>
      <w:r w:rsidRPr="00504F65">
        <w:rPr>
          <w:rFonts w:asciiTheme="minorHAnsi" w:hAnsiTheme="minorHAnsi" w:cstheme="minorHAnsi"/>
          <w:sz w:val="22"/>
          <w:szCs w:val="22"/>
        </w:rPr>
        <w:t>,</w:t>
      </w:r>
    </w:p>
    <w:p w14:paraId="16770507" w14:textId="4B3C63AB" w:rsidR="007E702F" w:rsidRDefault="008F779F" w:rsidP="00FA2435">
      <w:pPr>
        <w:pStyle w:val="Tekstpodstawowy"/>
        <w:spacing w:line="300" w:lineRule="atLeast"/>
        <w:ind w:left="567"/>
        <w:rPr>
          <w:rFonts w:asciiTheme="minorHAnsi" w:hAnsiTheme="minorHAnsi" w:cstheme="minorHAnsi"/>
          <w:sz w:val="22"/>
          <w:szCs w:val="22"/>
        </w:rPr>
      </w:pPr>
      <w:r>
        <w:rPr>
          <w:rFonts w:asciiTheme="minorHAnsi" w:hAnsiTheme="minorHAnsi" w:cstheme="minorHAnsi"/>
          <w:sz w:val="22"/>
          <w:szCs w:val="22"/>
        </w:rPr>
        <w:t>6</w:t>
      </w:r>
      <w:r w:rsidR="00B11EC0">
        <w:rPr>
          <w:rFonts w:asciiTheme="minorHAnsi" w:hAnsiTheme="minorHAnsi" w:cstheme="minorHAnsi"/>
          <w:sz w:val="22"/>
          <w:szCs w:val="22"/>
        </w:rPr>
        <w:t>)  w przypadku, gdy utrzymujący się niski dochód gospodarstwa domowego to uzasadnia gmina</w:t>
      </w:r>
      <w:r w:rsidR="00C21BF1">
        <w:rPr>
          <w:rFonts w:asciiTheme="minorHAnsi" w:hAnsiTheme="minorHAnsi" w:cstheme="minorHAnsi"/>
          <w:sz w:val="22"/>
          <w:szCs w:val="22"/>
        </w:rPr>
        <w:t>,</w:t>
      </w:r>
      <w:r w:rsidR="00B11EC0">
        <w:rPr>
          <w:rFonts w:asciiTheme="minorHAnsi" w:hAnsiTheme="minorHAnsi" w:cstheme="minorHAnsi"/>
          <w:sz w:val="22"/>
          <w:szCs w:val="22"/>
        </w:rPr>
        <w:t xml:space="preserve"> na wniosek najemcy może zastosować obniżkę czynszu na kolejny okres, o którym mowa w § 8 ust. 1 pkt. 1.</w:t>
      </w:r>
    </w:p>
    <w:p w14:paraId="33F86FA6" w14:textId="77777777" w:rsidR="00FA2435" w:rsidRPr="007E702F" w:rsidRDefault="00FA2435" w:rsidP="00FA2435">
      <w:pPr>
        <w:pStyle w:val="Tekstpodstawowy"/>
        <w:spacing w:line="300" w:lineRule="atLeast"/>
        <w:ind w:left="567"/>
        <w:rPr>
          <w:rFonts w:asciiTheme="minorHAnsi" w:hAnsiTheme="minorHAnsi" w:cstheme="minorHAnsi"/>
          <w:sz w:val="22"/>
          <w:szCs w:val="22"/>
        </w:rPr>
      </w:pPr>
    </w:p>
    <w:p w14:paraId="34913B6F" w14:textId="1B92E889" w:rsidR="00504F65" w:rsidRDefault="00FA2435" w:rsidP="007E702F">
      <w:pPr>
        <w:pStyle w:val="Tekstpodstawowy"/>
        <w:spacing w:line="300" w:lineRule="atLeast"/>
        <w:jc w:val="left"/>
        <w:rPr>
          <w:rFonts w:asciiTheme="minorHAnsi" w:hAnsiTheme="minorHAnsi" w:cstheme="minorHAnsi"/>
          <w:sz w:val="22"/>
          <w:szCs w:val="22"/>
        </w:rPr>
      </w:pPr>
      <w:r>
        <w:rPr>
          <w:rFonts w:asciiTheme="minorHAnsi" w:hAnsiTheme="minorHAnsi" w:cstheme="minorHAnsi"/>
          <w:sz w:val="22"/>
          <w:szCs w:val="22"/>
        </w:rPr>
        <w:t>2</w:t>
      </w:r>
      <w:r w:rsidR="007E702F" w:rsidRPr="00997F49">
        <w:rPr>
          <w:rFonts w:asciiTheme="minorHAnsi" w:hAnsiTheme="minorHAnsi" w:cstheme="minorHAnsi"/>
          <w:sz w:val="22"/>
          <w:szCs w:val="22"/>
        </w:rPr>
        <w:t>.</w:t>
      </w:r>
      <w:r w:rsidR="007E702F">
        <w:rPr>
          <w:rFonts w:asciiTheme="minorHAnsi" w:hAnsiTheme="minorHAnsi" w:cstheme="minorHAnsi"/>
          <w:sz w:val="22"/>
          <w:szCs w:val="22"/>
        </w:rPr>
        <w:t xml:space="preserve"> </w:t>
      </w:r>
      <w:r w:rsidR="00504F65" w:rsidRPr="00504F65">
        <w:rPr>
          <w:rFonts w:asciiTheme="minorHAnsi" w:hAnsiTheme="minorHAnsi" w:cstheme="minorHAnsi"/>
          <w:sz w:val="22"/>
          <w:szCs w:val="22"/>
        </w:rPr>
        <w:t>Zasady określone w ust. 1 nie mają zastosowania do najemcy, z którym zawarto umowę najmu socjalnego lokalu lub najmu pomieszczenia tymczasowego.</w:t>
      </w:r>
    </w:p>
    <w:p w14:paraId="7EDA501F" w14:textId="6744C9BE" w:rsidR="007E702F" w:rsidRPr="007E702F" w:rsidRDefault="007E702F" w:rsidP="00FA2435">
      <w:pPr>
        <w:pStyle w:val="Tekstpodstawowy"/>
        <w:spacing w:line="300" w:lineRule="atLeast"/>
        <w:rPr>
          <w:rFonts w:asciiTheme="minorHAnsi" w:hAnsiTheme="minorHAnsi" w:cstheme="minorHAnsi"/>
          <w:sz w:val="22"/>
          <w:szCs w:val="22"/>
        </w:rPr>
      </w:pPr>
    </w:p>
    <w:p w14:paraId="3C07F1CD" w14:textId="1C9E4A9E" w:rsidR="008C5D2C" w:rsidRDefault="00FA2435" w:rsidP="007561E1">
      <w:pPr>
        <w:contextualSpacing/>
        <w:jc w:val="both"/>
      </w:pPr>
      <w:r>
        <w:t>3</w:t>
      </w:r>
      <w:r w:rsidR="0006685E" w:rsidRPr="00997F49">
        <w:t>.</w:t>
      </w:r>
      <w:r w:rsidR="0006685E">
        <w:rPr>
          <w:b/>
          <w:bCs/>
        </w:rPr>
        <w:t xml:space="preserve"> </w:t>
      </w:r>
      <w:r w:rsidR="0006685E">
        <w:t xml:space="preserve">Według stanu na dzień </w:t>
      </w:r>
      <w:r w:rsidR="00816BB6">
        <w:t>30</w:t>
      </w:r>
      <w:r w:rsidR="0006685E">
        <w:t>.</w:t>
      </w:r>
      <w:r w:rsidR="00816BB6">
        <w:t>09</w:t>
      </w:r>
      <w:r w:rsidR="0006685E">
        <w:t>.202</w:t>
      </w:r>
      <w:r w:rsidR="00816BB6">
        <w:t>4</w:t>
      </w:r>
      <w:r w:rsidR="0006685E">
        <w:t xml:space="preserve"> r. łączne zadłużenie najemców lokali stanowiących mieszkaniowy zasób Gminy Komorniki (czynsz najmu, należności za media, odsetki) wynosiło </w:t>
      </w:r>
      <w:r w:rsidR="00AD2E1C">
        <w:t>185 509,48 zł.</w:t>
      </w:r>
      <w:r w:rsidR="0006685E">
        <w:t xml:space="preserve"> Na dzień 3</w:t>
      </w:r>
      <w:r w:rsidR="00AD2E1C">
        <w:t>0</w:t>
      </w:r>
      <w:r w:rsidR="0006685E">
        <w:t>.</w:t>
      </w:r>
      <w:r w:rsidR="00AD2E1C">
        <w:t>09</w:t>
      </w:r>
      <w:r w:rsidR="0006685E">
        <w:t>.202</w:t>
      </w:r>
      <w:r w:rsidR="00AD2E1C">
        <w:t>4</w:t>
      </w:r>
      <w:r w:rsidR="0006685E">
        <w:t xml:space="preserve"> r. 3 najemców miało podpisane z Gminą Komorniki ugody w sprawie spłaty zadłużenia za należności czynszowe w ratach. </w:t>
      </w:r>
    </w:p>
    <w:p w14:paraId="1265E932" w14:textId="77777777" w:rsidR="0026016B" w:rsidRDefault="0026016B" w:rsidP="007561E1">
      <w:pPr>
        <w:contextualSpacing/>
        <w:jc w:val="both"/>
      </w:pPr>
    </w:p>
    <w:p w14:paraId="3A3D303B" w14:textId="5B80F6CC" w:rsidR="0026016B" w:rsidRPr="00536E10" w:rsidRDefault="0026016B" w:rsidP="0026016B">
      <w:pPr>
        <w:contextualSpacing/>
        <w:jc w:val="center"/>
        <w:rPr>
          <w:b/>
          <w:bCs/>
        </w:rPr>
      </w:pPr>
      <w:r w:rsidRPr="00536E10">
        <w:rPr>
          <w:b/>
          <w:bCs/>
        </w:rPr>
        <w:t xml:space="preserve">Rozdział </w:t>
      </w:r>
      <w:r>
        <w:rPr>
          <w:b/>
          <w:bCs/>
        </w:rPr>
        <w:t>7</w:t>
      </w:r>
    </w:p>
    <w:p w14:paraId="62B84AE7" w14:textId="3DFB6348" w:rsidR="0026016B" w:rsidRPr="00F26E14" w:rsidRDefault="0026016B" w:rsidP="00F26E14">
      <w:pPr>
        <w:pStyle w:val="Akapitzlist"/>
        <w:jc w:val="center"/>
        <w:rPr>
          <w:b/>
          <w:bCs/>
        </w:rPr>
      </w:pPr>
      <w:r w:rsidRPr="0026016B">
        <w:rPr>
          <w:b/>
          <w:bCs/>
        </w:rPr>
        <w:t>Sposób i zasady zarządzania lokalami i budynkami wchodzącymi w skład mieszkaniowego zasobu gminy oraz przewidywane zmiany w zakresie zarządzania mieszkaniowym zasobem gminy w kolejnych latach.</w:t>
      </w:r>
      <w:r w:rsidRPr="00F26E14">
        <w:rPr>
          <w:b/>
          <w:bCs/>
        </w:rPr>
        <w:t xml:space="preserve"> </w:t>
      </w:r>
    </w:p>
    <w:p w14:paraId="618EE444" w14:textId="32BA0D59" w:rsidR="0026016B" w:rsidRDefault="0026016B" w:rsidP="0026016B">
      <w:pPr>
        <w:pStyle w:val="Tekstpodstawowy"/>
        <w:spacing w:line="300" w:lineRule="atLeast"/>
        <w:rPr>
          <w:rFonts w:asciiTheme="minorHAnsi" w:hAnsiTheme="minorHAnsi" w:cstheme="minorHAnsi"/>
          <w:sz w:val="22"/>
          <w:szCs w:val="22"/>
        </w:rPr>
      </w:pPr>
      <w:r w:rsidRPr="00D24BFC">
        <w:rPr>
          <w:rFonts w:asciiTheme="minorHAnsi" w:hAnsiTheme="minorHAnsi" w:cstheme="minorHAnsi"/>
          <w:b/>
          <w:bCs/>
          <w:sz w:val="22"/>
          <w:szCs w:val="22"/>
        </w:rPr>
        <w:lastRenderedPageBreak/>
        <w:t xml:space="preserve">§ 9. </w:t>
      </w:r>
      <w:r w:rsidRPr="00997F49">
        <w:rPr>
          <w:rFonts w:asciiTheme="minorHAnsi" w:hAnsiTheme="minorHAnsi" w:cstheme="minorHAnsi"/>
          <w:sz w:val="22"/>
          <w:szCs w:val="22"/>
        </w:rPr>
        <w:t>1.</w:t>
      </w:r>
      <w:r>
        <w:rPr>
          <w:rFonts w:asciiTheme="minorHAnsi" w:hAnsiTheme="minorHAnsi" w:cstheme="minorHAnsi"/>
          <w:sz w:val="22"/>
          <w:szCs w:val="22"/>
        </w:rPr>
        <w:t xml:space="preserve"> Mieszkaniowym</w:t>
      </w:r>
      <w:r w:rsidRPr="0026016B">
        <w:rPr>
          <w:rFonts w:asciiTheme="minorHAnsi" w:hAnsiTheme="minorHAnsi" w:cstheme="minorHAnsi"/>
          <w:sz w:val="22"/>
          <w:szCs w:val="22"/>
        </w:rPr>
        <w:t xml:space="preserve"> zasobem Gminy Komorniki zarządza Wójt Gminy Komorniki.</w:t>
      </w:r>
    </w:p>
    <w:p w14:paraId="699D4E93" w14:textId="77777777" w:rsidR="0026016B" w:rsidRPr="0026016B" w:rsidRDefault="0026016B" w:rsidP="0026016B">
      <w:pPr>
        <w:pStyle w:val="Tekstpodstawowy"/>
        <w:spacing w:line="300" w:lineRule="atLeast"/>
        <w:rPr>
          <w:rFonts w:asciiTheme="minorHAnsi" w:hAnsiTheme="minorHAnsi" w:cstheme="minorHAnsi"/>
          <w:sz w:val="22"/>
          <w:szCs w:val="22"/>
        </w:rPr>
      </w:pPr>
    </w:p>
    <w:p w14:paraId="41D7F2A0" w14:textId="6D3DDDB9" w:rsidR="0026016B" w:rsidRPr="0026016B" w:rsidRDefault="0026016B" w:rsidP="0026016B">
      <w:pPr>
        <w:pStyle w:val="Tekstpodstawowy"/>
        <w:spacing w:line="300" w:lineRule="atLeast"/>
        <w:rPr>
          <w:rFonts w:asciiTheme="minorHAnsi" w:hAnsiTheme="minorHAnsi" w:cstheme="minorHAnsi"/>
          <w:sz w:val="22"/>
          <w:szCs w:val="22"/>
        </w:rPr>
      </w:pPr>
      <w:r w:rsidRPr="00997F49">
        <w:rPr>
          <w:rFonts w:asciiTheme="minorHAnsi" w:hAnsiTheme="minorHAnsi" w:cstheme="minorHAnsi"/>
          <w:sz w:val="22"/>
          <w:szCs w:val="22"/>
        </w:rPr>
        <w:t>2.</w:t>
      </w:r>
      <w:r>
        <w:rPr>
          <w:rFonts w:asciiTheme="minorHAnsi" w:hAnsiTheme="minorHAnsi" w:cstheme="minorHAnsi"/>
          <w:sz w:val="22"/>
          <w:szCs w:val="22"/>
        </w:rPr>
        <w:t xml:space="preserve"> </w:t>
      </w:r>
      <w:r w:rsidRPr="0026016B">
        <w:rPr>
          <w:rFonts w:asciiTheme="minorHAnsi" w:hAnsiTheme="minorHAnsi" w:cstheme="minorHAnsi"/>
          <w:sz w:val="22"/>
          <w:szCs w:val="22"/>
        </w:rPr>
        <w:t xml:space="preserve">Zadania z zakresu zarzadzania </w:t>
      </w:r>
      <w:r>
        <w:rPr>
          <w:rFonts w:asciiTheme="minorHAnsi" w:hAnsiTheme="minorHAnsi" w:cstheme="minorHAnsi"/>
          <w:sz w:val="22"/>
          <w:szCs w:val="22"/>
        </w:rPr>
        <w:t>mieszkaniowym</w:t>
      </w:r>
      <w:r w:rsidRPr="0026016B">
        <w:rPr>
          <w:rFonts w:asciiTheme="minorHAnsi" w:hAnsiTheme="minorHAnsi" w:cstheme="minorHAnsi"/>
          <w:sz w:val="22"/>
          <w:szCs w:val="22"/>
        </w:rPr>
        <w:t xml:space="preserve"> zasobem Gminy powinny być wykonywane zgodnie z zasadami wynikającymi z przepisów prawa, ze szczególną starannością właściwą dla charakteru tych czynności. Przy ich wykonywaniu należy się kierować zasadą ochrony interesu osób, na rzecz których wykonywane są te czynności oraz zasadą utrzymania zasobu w niepogorszonym stanie technicznym.</w:t>
      </w:r>
    </w:p>
    <w:p w14:paraId="3EEC148C" w14:textId="77777777" w:rsidR="0026016B" w:rsidRDefault="0026016B" w:rsidP="0026016B">
      <w:pPr>
        <w:pStyle w:val="Tekstpodstawowy"/>
        <w:spacing w:line="300" w:lineRule="atLeast"/>
        <w:rPr>
          <w:rFonts w:asciiTheme="minorHAnsi" w:hAnsiTheme="minorHAnsi" w:cstheme="minorHAnsi"/>
          <w:sz w:val="22"/>
          <w:szCs w:val="22"/>
        </w:rPr>
      </w:pPr>
    </w:p>
    <w:p w14:paraId="1483A983" w14:textId="3B5AAB12" w:rsidR="0026016B" w:rsidRPr="0026016B" w:rsidRDefault="0026016B" w:rsidP="0026016B">
      <w:pPr>
        <w:pStyle w:val="Tekstpodstawowy"/>
        <w:spacing w:line="300" w:lineRule="atLeast"/>
        <w:rPr>
          <w:rFonts w:asciiTheme="minorHAnsi" w:hAnsiTheme="minorHAnsi" w:cstheme="minorHAnsi"/>
          <w:sz w:val="22"/>
          <w:szCs w:val="22"/>
        </w:rPr>
      </w:pPr>
      <w:r w:rsidRPr="00997F49">
        <w:rPr>
          <w:rFonts w:asciiTheme="minorHAnsi" w:hAnsiTheme="minorHAnsi" w:cstheme="minorHAnsi"/>
          <w:sz w:val="22"/>
          <w:szCs w:val="22"/>
        </w:rPr>
        <w:t>3.</w:t>
      </w:r>
      <w:r>
        <w:rPr>
          <w:rFonts w:asciiTheme="minorHAnsi" w:hAnsiTheme="minorHAnsi" w:cstheme="minorHAnsi"/>
          <w:sz w:val="22"/>
          <w:szCs w:val="22"/>
        </w:rPr>
        <w:t xml:space="preserve"> </w:t>
      </w:r>
      <w:r w:rsidRPr="0026016B">
        <w:rPr>
          <w:rFonts w:asciiTheme="minorHAnsi" w:hAnsiTheme="minorHAnsi" w:cstheme="minorHAnsi"/>
          <w:sz w:val="22"/>
          <w:szCs w:val="22"/>
        </w:rPr>
        <w:t>Zarządzanie zasobem obejmuje w szczególności czynności związane z:</w:t>
      </w:r>
    </w:p>
    <w:p w14:paraId="1A0AC1B6" w14:textId="77777777"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administrowaniem zasobem,</w:t>
      </w:r>
    </w:p>
    <w:p w14:paraId="29B622A8" w14:textId="77777777"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ewidencjonowaniem zasobu,</w:t>
      </w:r>
    </w:p>
    <w:p w14:paraId="4B5C6212" w14:textId="77777777"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sporządzaniem umów najmu i zamian lokali,</w:t>
      </w:r>
    </w:p>
    <w:p w14:paraId="322B1A9E" w14:textId="77777777"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prowadzeniem spraw z zakresu księgowości,</w:t>
      </w:r>
    </w:p>
    <w:p w14:paraId="3AA8DD37" w14:textId="77777777"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prowadzeniem spraw z zakresu ubezpieczeń,</w:t>
      </w:r>
    </w:p>
    <w:p w14:paraId="7B3B5B32" w14:textId="77777777"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prowadzeniem spraw z zakresu windykacji,</w:t>
      </w:r>
    </w:p>
    <w:p w14:paraId="2F2693A9" w14:textId="5D2F0E26"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prowadzeniem spraw związanych z eksploatacją, konserwacją i remontami budynków i lokali</w:t>
      </w:r>
      <w:r w:rsidR="00AB3CDE">
        <w:rPr>
          <w:rFonts w:asciiTheme="minorHAnsi" w:hAnsiTheme="minorHAnsi" w:cstheme="minorHAnsi"/>
          <w:sz w:val="22"/>
          <w:szCs w:val="22"/>
        </w:rPr>
        <w:t xml:space="preserve"> </w:t>
      </w:r>
      <w:r w:rsidRPr="0026016B">
        <w:rPr>
          <w:rFonts w:asciiTheme="minorHAnsi" w:hAnsiTheme="minorHAnsi" w:cstheme="minorHAnsi"/>
          <w:sz w:val="22"/>
          <w:szCs w:val="22"/>
        </w:rPr>
        <w:t>oraz związanej z nimi infrastruktury mające na celu utrzymanie ich w stanie niepogorszonym,</w:t>
      </w:r>
    </w:p>
    <w:p w14:paraId="75FB9607" w14:textId="77777777" w:rsidR="0026016B" w:rsidRP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prowadzeniem spraw związanych ze zbyciem i nabyciem nieruchomości,</w:t>
      </w:r>
    </w:p>
    <w:p w14:paraId="4FB7905D" w14:textId="77777777" w:rsidR="0026016B" w:rsidRDefault="0026016B" w:rsidP="0026016B">
      <w:pPr>
        <w:pStyle w:val="Tekstpodstawowy"/>
        <w:numPr>
          <w:ilvl w:val="2"/>
          <w:numId w:val="16"/>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prowadzeniem inwestycji w zakresie gminnego budownictwa mieszkaniowego.</w:t>
      </w:r>
    </w:p>
    <w:p w14:paraId="2EAB272E" w14:textId="77777777" w:rsidR="0026016B" w:rsidRPr="0026016B" w:rsidRDefault="0026016B" w:rsidP="0026016B">
      <w:pPr>
        <w:pStyle w:val="Tekstpodstawowy"/>
        <w:spacing w:line="300" w:lineRule="atLeast"/>
        <w:ind w:left="851"/>
        <w:rPr>
          <w:rFonts w:asciiTheme="minorHAnsi" w:hAnsiTheme="minorHAnsi" w:cstheme="minorHAnsi"/>
          <w:sz w:val="22"/>
          <w:szCs w:val="22"/>
        </w:rPr>
      </w:pPr>
    </w:p>
    <w:p w14:paraId="502A2982" w14:textId="08CE428F" w:rsidR="0026016B" w:rsidRPr="0026016B" w:rsidRDefault="0026016B" w:rsidP="0026016B">
      <w:pPr>
        <w:pStyle w:val="Tekstpodstawowy"/>
        <w:spacing w:line="300" w:lineRule="atLeast"/>
        <w:rPr>
          <w:rFonts w:asciiTheme="minorHAnsi" w:hAnsiTheme="minorHAnsi" w:cstheme="minorHAnsi"/>
          <w:sz w:val="22"/>
          <w:szCs w:val="22"/>
        </w:rPr>
      </w:pPr>
      <w:r w:rsidRPr="00997F49">
        <w:rPr>
          <w:rFonts w:asciiTheme="minorHAnsi" w:hAnsiTheme="minorHAnsi" w:cstheme="minorHAnsi"/>
          <w:sz w:val="22"/>
          <w:szCs w:val="22"/>
        </w:rPr>
        <w:t>4.</w:t>
      </w:r>
      <w:r>
        <w:rPr>
          <w:rFonts w:asciiTheme="minorHAnsi" w:hAnsiTheme="minorHAnsi" w:cstheme="minorHAnsi"/>
          <w:sz w:val="22"/>
          <w:szCs w:val="22"/>
        </w:rPr>
        <w:t xml:space="preserve"> </w:t>
      </w:r>
      <w:r w:rsidRPr="0026016B">
        <w:rPr>
          <w:rFonts w:asciiTheme="minorHAnsi" w:hAnsiTheme="minorHAnsi" w:cstheme="minorHAnsi"/>
          <w:sz w:val="22"/>
          <w:szCs w:val="22"/>
        </w:rPr>
        <w:t>Wydziały odpowiedzialne za wykonywanie czynności określonych w ust. 3:</w:t>
      </w:r>
    </w:p>
    <w:p w14:paraId="7C874560" w14:textId="50E71419" w:rsidR="0026016B" w:rsidRPr="0026016B" w:rsidRDefault="0026016B" w:rsidP="0026016B">
      <w:pPr>
        <w:pStyle w:val="Tekstpodstawowy"/>
        <w:numPr>
          <w:ilvl w:val="2"/>
          <w:numId w:val="17"/>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 xml:space="preserve">Wydział Finansowy i </w:t>
      </w:r>
      <w:r>
        <w:rPr>
          <w:rFonts w:asciiTheme="minorHAnsi" w:hAnsiTheme="minorHAnsi" w:cstheme="minorHAnsi"/>
          <w:sz w:val="22"/>
          <w:szCs w:val="22"/>
        </w:rPr>
        <w:t>Wydział</w:t>
      </w:r>
      <w:r w:rsidRPr="0026016B">
        <w:rPr>
          <w:rFonts w:asciiTheme="minorHAnsi" w:hAnsiTheme="minorHAnsi" w:cstheme="minorHAnsi"/>
          <w:sz w:val="22"/>
          <w:szCs w:val="22"/>
        </w:rPr>
        <w:t xml:space="preserve"> Podatkowy w zakresie obsługi księgowej</w:t>
      </w:r>
      <w:r w:rsidR="00AB3CDE">
        <w:rPr>
          <w:rFonts w:asciiTheme="minorHAnsi" w:hAnsiTheme="minorHAnsi" w:cstheme="minorHAnsi"/>
          <w:sz w:val="22"/>
          <w:szCs w:val="22"/>
        </w:rPr>
        <w:t xml:space="preserve">, </w:t>
      </w:r>
      <w:r w:rsidRPr="0026016B">
        <w:rPr>
          <w:rFonts w:asciiTheme="minorHAnsi" w:hAnsiTheme="minorHAnsi" w:cstheme="minorHAnsi"/>
          <w:sz w:val="22"/>
          <w:szCs w:val="22"/>
        </w:rPr>
        <w:t>ubezpieczeniowej</w:t>
      </w:r>
      <w:r w:rsidR="00AB3CDE">
        <w:rPr>
          <w:rFonts w:asciiTheme="minorHAnsi" w:hAnsiTheme="minorHAnsi" w:cstheme="minorHAnsi"/>
          <w:sz w:val="22"/>
          <w:szCs w:val="22"/>
        </w:rPr>
        <w:t xml:space="preserve"> i windykacji</w:t>
      </w:r>
      <w:r w:rsidRPr="0026016B">
        <w:rPr>
          <w:rFonts w:asciiTheme="minorHAnsi" w:hAnsiTheme="minorHAnsi" w:cstheme="minorHAnsi"/>
          <w:sz w:val="22"/>
          <w:szCs w:val="22"/>
        </w:rPr>
        <w:t>,</w:t>
      </w:r>
    </w:p>
    <w:p w14:paraId="6C7D7C51" w14:textId="2AC20C90" w:rsidR="0026016B" w:rsidRPr="0026016B" w:rsidRDefault="0026016B" w:rsidP="0026016B">
      <w:pPr>
        <w:pStyle w:val="Tekstpodstawowy"/>
        <w:numPr>
          <w:ilvl w:val="2"/>
          <w:numId w:val="17"/>
        </w:numPr>
        <w:spacing w:line="300" w:lineRule="atLeast"/>
        <w:rPr>
          <w:rFonts w:asciiTheme="minorHAnsi" w:hAnsiTheme="minorHAnsi" w:cstheme="minorHAnsi"/>
          <w:sz w:val="22"/>
          <w:szCs w:val="22"/>
        </w:rPr>
      </w:pPr>
      <w:r w:rsidRPr="0026016B">
        <w:rPr>
          <w:rFonts w:asciiTheme="minorHAnsi" w:hAnsiTheme="minorHAnsi" w:cstheme="minorHAnsi"/>
          <w:sz w:val="22"/>
          <w:szCs w:val="22"/>
        </w:rPr>
        <w:t>Wydział Inwestycji i Remontów w zakresie remontów budynków i lokali oraz związanej z nimi infrastruktury</w:t>
      </w:r>
      <w:r>
        <w:rPr>
          <w:rFonts w:asciiTheme="minorHAnsi" w:hAnsiTheme="minorHAnsi" w:cstheme="minorHAnsi"/>
          <w:sz w:val="22"/>
          <w:szCs w:val="22"/>
        </w:rPr>
        <w:t>,</w:t>
      </w:r>
      <w:r w:rsidRPr="0026016B">
        <w:rPr>
          <w:rFonts w:asciiTheme="minorHAnsi" w:hAnsiTheme="minorHAnsi" w:cstheme="minorHAnsi"/>
          <w:sz w:val="22"/>
          <w:szCs w:val="22"/>
        </w:rPr>
        <w:t xml:space="preserve"> a także prowadzenia inwestycji w zakresie gminnego budownictwa mieszkaniowego,</w:t>
      </w:r>
    </w:p>
    <w:p w14:paraId="251726CA" w14:textId="564975A6" w:rsidR="0026016B" w:rsidRDefault="0026016B" w:rsidP="0026016B">
      <w:pPr>
        <w:pStyle w:val="Tekstpodstawowy"/>
        <w:numPr>
          <w:ilvl w:val="2"/>
          <w:numId w:val="17"/>
        </w:numPr>
        <w:spacing w:line="300" w:lineRule="atLeast"/>
        <w:rPr>
          <w:rFonts w:asciiTheme="minorHAnsi" w:hAnsiTheme="minorHAnsi" w:cstheme="minorHAnsi"/>
          <w:sz w:val="22"/>
          <w:szCs w:val="22"/>
        </w:rPr>
      </w:pPr>
      <w:r>
        <w:rPr>
          <w:rFonts w:asciiTheme="minorHAnsi" w:hAnsiTheme="minorHAnsi" w:cstheme="minorHAnsi"/>
          <w:sz w:val="22"/>
          <w:szCs w:val="22"/>
        </w:rPr>
        <w:t>Wydział</w:t>
      </w:r>
      <w:r w:rsidRPr="0026016B">
        <w:rPr>
          <w:rFonts w:asciiTheme="minorHAnsi" w:hAnsiTheme="minorHAnsi" w:cstheme="minorHAnsi"/>
          <w:sz w:val="22"/>
          <w:szCs w:val="22"/>
        </w:rPr>
        <w:t xml:space="preserve"> Gospodarki Nieruchomościami </w:t>
      </w:r>
      <w:r w:rsidR="006E26E7">
        <w:rPr>
          <w:rFonts w:asciiTheme="minorHAnsi" w:hAnsiTheme="minorHAnsi" w:cstheme="minorHAnsi"/>
          <w:sz w:val="22"/>
          <w:szCs w:val="22"/>
        </w:rPr>
        <w:t xml:space="preserve">i Zarządzania Mieniem </w:t>
      </w:r>
      <w:r w:rsidRPr="0026016B">
        <w:rPr>
          <w:rFonts w:asciiTheme="minorHAnsi" w:hAnsiTheme="minorHAnsi" w:cstheme="minorHAnsi"/>
          <w:sz w:val="22"/>
          <w:szCs w:val="22"/>
        </w:rPr>
        <w:t>w pozostałym zakresie.</w:t>
      </w:r>
    </w:p>
    <w:p w14:paraId="2F7905FA" w14:textId="77777777" w:rsidR="00AB3CDE" w:rsidRDefault="00AB3CDE" w:rsidP="00AB3CDE">
      <w:pPr>
        <w:pStyle w:val="Tekstpodstawowy"/>
        <w:spacing w:line="300" w:lineRule="atLeast"/>
        <w:ind w:left="851"/>
        <w:rPr>
          <w:rFonts w:asciiTheme="minorHAnsi" w:hAnsiTheme="minorHAnsi" w:cstheme="minorHAnsi"/>
          <w:sz w:val="22"/>
          <w:szCs w:val="22"/>
        </w:rPr>
      </w:pPr>
    </w:p>
    <w:p w14:paraId="617A0167" w14:textId="4F79B7D5" w:rsidR="004720E3" w:rsidRPr="0026016B" w:rsidRDefault="004720E3" w:rsidP="004720E3">
      <w:pPr>
        <w:pStyle w:val="Tekstpodstawowy"/>
        <w:spacing w:line="300" w:lineRule="atLeast"/>
        <w:rPr>
          <w:rFonts w:asciiTheme="minorHAnsi" w:hAnsiTheme="minorHAnsi" w:cstheme="minorHAnsi"/>
          <w:sz w:val="22"/>
          <w:szCs w:val="22"/>
        </w:rPr>
      </w:pPr>
      <w:r w:rsidRPr="00997F49">
        <w:rPr>
          <w:rFonts w:asciiTheme="minorHAnsi" w:hAnsiTheme="minorHAnsi" w:cstheme="minorHAnsi"/>
          <w:sz w:val="22"/>
          <w:szCs w:val="22"/>
        </w:rPr>
        <w:t>5.</w:t>
      </w:r>
      <w:r>
        <w:rPr>
          <w:rFonts w:asciiTheme="minorHAnsi" w:hAnsiTheme="minorHAnsi" w:cstheme="minorHAnsi"/>
          <w:sz w:val="22"/>
          <w:szCs w:val="22"/>
        </w:rPr>
        <w:t xml:space="preserve"> W latach 2025 – 2029 nie przewiduje się zmiany w sposobie zarządzania zasobem mieszkaniowym Gminy Komorniki.</w:t>
      </w:r>
    </w:p>
    <w:p w14:paraId="5071619C" w14:textId="77777777" w:rsidR="0026016B" w:rsidRDefault="0026016B" w:rsidP="0026016B">
      <w:pPr>
        <w:pStyle w:val="Akapitzlist"/>
        <w:jc w:val="center"/>
        <w:rPr>
          <w:b/>
          <w:bCs/>
        </w:rPr>
      </w:pPr>
    </w:p>
    <w:p w14:paraId="52261299" w14:textId="2F6F037C" w:rsidR="006471C8" w:rsidRPr="00536E10" w:rsidRDefault="006471C8" w:rsidP="006471C8">
      <w:pPr>
        <w:contextualSpacing/>
        <w:jc w:val="center"/>
        <w:rPr>
          <w:b/>
          <w:bCs/>
        </w:rPr>
      </w:pPr>
      <w:r w:rsidRPr="00536E10">
        <w:rPr>
          <w:b/>
          <w:bCs/>
        </w:rPr>
        <w:t xml:space="preserve">Rozdział </w:t>
      </w:r>
      <w:r>
        <w:rPr>
          <w:b/>
          <w:bCs/>
        </w:rPr>
        <w:t>8</w:t>
      </w:r>
    </w:p>
    <w:p w14:paraId="19A44E20" w14:textId="1185639A" w:rsidR="006471C8" w:rsidRDefault="006471C8" w:rsidP="006471C8">
      <w:pPr>
        <w:contextualSpacing/>
        <w:jc w:val="center"/>
        <w:rPr>
          <w:b/>
          <w:bCs/>
        </w:rPr>
      </w:pPr>
      <w:r>
        <w:rPr>
          <w:b/>
          <w:bCs/>
        </w:rPr>
        <w:t>Źródła finansowania gospodarki mieszkaniowej w kolejnych latach</w:t>
      </w:r>
    </w:p>
    <w:p w14:paraId="62692505" w14:textId="77777777" w:rsidR="006471C8" w:rsidRDefault="006471C8" w:rsidP="006471C8">
      <w:pPr>
        <w:contextualSpacing/>
        <w:jc w:val="center"/>
        <w:rPr>
          <w:b/>
          <w:bCs/>
        </w:rPr>
      </w:pPr>
    </w:p>
    <w:p w14:paraId="59E4D464" w14:textId="119CB12B" w:rsidR="006471C8" w:rsidRPr="006471C8" w:rsidRDefault="006471C8" w:rsidP="006471C8">
      <w:pPr>
        <w:pStyle w:val="Tekstpodstawowy"/>
        <w:spacing w:line="300" w:lineRule="atLeast"/>
        <w:rPr>
          <w:rFonts w:asciiTheme="minorHAnsi" w:hAnsiTheme="minorHAnsi" w:cstheme="minorHAnsi"/>
          <w:sz w:val="22"/>
          <w:szCs w:val="22"/>
        </w:rPr>
      </w:pPr>
      <w:r w:rsidRPr="0046042A">
        <w:rPr>
          <w:rFonts w:asciiTheme="minorHAnsi" w:hAnsiTheme="minorHAnsi" w:cstheme="minorHAnsi"/>
          <w:b/>
          <w:bCs/>
          <w:sz w:val="22"/>
          <w:szCs w:val="22"/>
        </w:rPr>
        <w:t>§ 10.</w:t>
      </w:r>
      <w:r w:rsidRPr="006471C8">
        <w:rPr>
          <w:rFonts w:asciiTheme="minorHAnsi" w:hAnsiTheme="minorHAnsi" w:cstheme="minorHAnsi"/>
          <w:sz w:val="22"/>
          <w:szCs w:val="22"/>
        </w:rPr>
        <w:t xml:space="preserve"> Źródłem finansowania gospodarki mieszkaniowej Gminy Komorniki w </w:t>
      </w:r>
      <w:r w:rsidR="00FD1F08">
        <w:rPr>
          <w:rFonts w:asciiTheme="minorHAnsi" w:hAnsiTheme="minorHAnsi" w:cstheme="minorHAnsi"/>
          <w:sz w:val="22"/>
          <w:szCs w:val="22"/>
        </w:rPr>
        <w:t xml:space="preserve">latach 2025 – 2029 </w:t>
      </w:r>
      <w:r w:rsidRPr="006471C8">
        <w:rPr>
          <w:rFonts w:asciiTheme="minorHAnsi" w:hAnsiTheme="minorHAnsi" w:cstheme="minorHAnsi"/>
          <w:sz w:val="22"/>
          <w:szCs w:val="22"/>
        </w:rPr>
        <w:t xml:space="preserve"> będą w szczególności:</w:t>
      </w:r>
    </w:p>
    <w:p w14:paraId="3AB4F105" w14:textId="77777777" w:rsidR="006471C8" w:rsidRPr="006471C8" w:rsidRDefault="006471C8" w:rsidP="006471C8">
      <w:pPr>
        <w:pStyle w:val="Tekstpodstawowy"/>
        <w:numPr>
          <w:ilvl w:val="2"/>
          <w:numId w:val="18"/>
        </w:numPr>
        <w:spacing w:line="300" w:lineRule="atLeast"/>
        <w:rPr>
          <w:rFonts w:asciiTheme="minorHAnsi" w:hAnsiTheme="minorHAnsi" w:cstheme="minorHAnsi"/>
          <w:sz w:val="22"/>
          <w:szCs w:val="22"/>
        </w:rPr>
      </w:pPr>
      <w:r w:rsidRPr="006471C8">
        <w:rPr>
          <w:rFonts w:asciiTheme="minorHAnsi" w:hAnsiTheme="minorHAnsi" w:cstheme="minorHAnsi"/>
          <w:sz w:val="22"/>
          <w:szCs w:val="22"/>
        </w:rPr>
        <w:t>przychody z czynszów za lokale mieszkalne,</w:t>
      </w:r>
    </w:p>
    <w:p w14:paraId="4A8F2DD9" w14:textId="37A22CD2" w:rsidR="006471C8" w:rsidRPr="006471C8" w:rsidRDefault="006471C8" w:rsidP="006471C8">
      <w:pPr>
        <w:pStyle w:val="Tekstpodstawowy"/>
        <w:numPr>
          <w:ilvl w:val="2"/>
          <w:numId w:val="18"/>
        </w:numPr>
        <w:spacing w:line="300" w:lineRule="atLeast"/>
        <w:rPr>
          <w:rFonts w:asciiTheme="minorHAnsi" w:hAnsiTheme="minorHAnsi" w:cstheme="minorHAnsi"/>
          <w:sz w:val="22"/>
          <w:szCs w:val="22"/>
        </w:rPr>
      </w:pPr>
      <w:r w:rsidRPr="006471C8">
        <w:rPr>
          <w:rFonts w:asciiTheme="minorHAnsi" w:hAnsiTheme="minorHAnsi" w:cstheme="minorHAnsi"/>
          <w:sz w:val="22"/>
          <w:szCs w:val="22"/>
        </w:rPr>
        <w:t xml:space="preserve">środki z budżetu </w:t>
      </w:r>
      <w:r w:rsidR="00997F49">
        <w:rPr>
          <w:rFonts w:asciiTheme="minorHAnsi" w:hAnsiTheme="minorHAnsi" w:cstheme="minorHAnsi"/>
          <w:sz w:val="22"/>
          <w:szCs w:val="22"/>
        </w:rPr>
        <w:t>G</w:t>
      </w:r>
      <w:r w:rsidRPr="006471C8">
        <w:rPr>
          <w:rFonts w:asciiTheme="minorHAnsi" w:hAnsiTheme="minorHAnsi" w:cstheme="minorHAnsi"/>
          <w:sz w:val="22"/>
          <w:szCs w:val="22"/>
        </w:rPr>
        <w:t>miny</w:t>
      </w:r>
      <w:r w:rsidR="00997F49">
        <w:rPr>
          <w:rFonts w:asciiTheme="minorHAnsi" w:hAnsiTheme="minorHAnsi" w:cstheme="minorHAnsi"/>
          <w:sz w:val="22"/>
          <w:szCs w:val="22"/>
        </w:rPr>
        <w:t xml:space="preserve"> Komorniki</w:t>
      </w:r>
      <w:r w:rsidRPr="006471C8">
        <w:rPr>
          <w:rFonts w:asciiTheme="minorHAnsi" w:hAnsiTheme="minorHAnsi" w:cstheme="minorHAnsi"/>
          <w:sz w:val="22"/>
          <w:szCs w:val="22"/>
        </w:rPr>
        <w:t>,</w:t>
      </w:r>
    </w:p>
    <w:p w14:paraId="71DEC049" w14:textId="4068D4F1" w:rsidR="006471C8" w:rsidRPr="006471C8" w:rsidRDefault="006471C8" w:rsidP="006471C8">
      <w:pPr>
        <w:pStyle w:val="Tekstpodstawowy"/>
        <w:numPr>
          <w:ilvl w:val="2"/>
          <w:numId w:val="18"/>
        </w:numPr>
        <w:spacing w:line="300" w:lineRule="atLeast"/>
        <w:rPr>
          <w:rFonts w:asciiTheme="minorHAnsi" w:hAnsiTheme="minorHAnsi" w:cstheme="minorHAnsi"/>
          <w:sz w:val="22"/>
          <w:szCs w:val="22"/>
        </w:rPr>
      </w:pPr>
      <w:r w:rsidRPr="006471C8">
        <w:rPr>
          <w:rFonts w:asciiTheme="minorHAnsi" w:hAnsiTheme="minorHAnsi" w:cstheme="minorHAnsi"/>
          <w:sz w:val="22"/>
          <w:szCs w:val="22"/>
        </w:rPr>
        <w:t xml:space="preserve">środki z innych źródeł zewnętrznych pozyskiwane przez Gminę Komorniki, w tym w szczególności dotacje i środki pozyskiwane </w:t>
      </w:r>
      <w:r w:rsidR="00C9734D">
        <w:rPr>
          <w:rFonts w:asciiTheme="minorHAnsi" w:hAnsiTheme="minorHAnsi" w:cstheme="minorHAnsi"/>
          <w:sz w:val="22"/>
          <w:szCs w:val="22"/>
        </w:rPr>
        <w:t xml:space="preserve">m.in. </w:t>
      </w:r>
      <w:r w:rsidRPr="006471C8">
        <w:rPr>
          <w:rFonts w:asciiTheme="minorHAnsi" w:hAnsiTheme="minorHAnsi" w:cstheme="minorHAnsi"/>
          <w:sz w:val="22"/>
          <w:szCs w:val="22"/>
        </w:rPr>
        <w:t xml:space="preserve">z </w:t>
      </w:r>
      <w:r w:rsidR="00C9734D">
        <w:rPr>
          <w:rFonts w:asciiTheme="minorHAnsi" w:hAnsiTheme="minorHAnsi" w:cstheme="minorHAnsi"/>
          <w:sz w:val="22"/>
          <w:szCs w:val="22"/>
        </w:rPr>
        <w:t>Banku Gospodarstwa Krajowego</w:t>
      </w:r>
      <w:r>
        <w:rPr>
          <w:rFonts w:asciiTheme="minorHAnsi" w:hAnsiTheme="minorHAnsi" w:cstheme="minorHAnsi"/>
          <w:sz w:val="22"/>
          <w:szCs w:val="22"/>
        </w:rPr>
        <w:t>, środki pozyskane z Unii Europejskiej</w:t>
      </w:r>
      <w:r w:rsidR="00C9734D">
        <w:rPr>
          <w:rFonts w:asciiTheme="minorHAnsi" w:hAnsiTheme="minorHAnsi" w:cstheme="minorHAnsi"/>
          <w:sz w:val="22"/>
          <w:szCs w:val="22"/>
        </w:rPr>
        <w:t>.</w:t>
      </w:r>
    </w:p>
    <w:p w14:paraId="62BF246A" w14:textId="77777777" w:rsidR="006471C8" w:rsidRDefault="006471C8" w:rsidP="006471C8">
      <w:pPr>
        <w:contextualSpacing/>
        <w:jc w:val="center"/>
        <w:rPr>
          <w:b/>
          <w:bCs/>
        </w:rPr>
      </w:pPr>
    </w:p>
    <w:p w14:paraId="46971217" w14:textId="5941609B" w:rsidR="0046042A" w:rsidRPr="00536E10" w:rsidRDefault="0046042A" w:rsidP="0046042A">
      <w:pPr>
        <w:contextualSpacing/>
        <w:jc w:val="center"/>
        <w:rPr>
          <w:b/>
          <w:bCs/>
        </w:rPr>
      </w:pPr>
      <w:r w:rsidRPr="00536E10">
        <w:rPr>
          <w:b/>
          <w:bCs/>
        </w:rPr>
        <w:t xml:space="preserve">Rozdział </w:t>
      </w:r>
      <w:r>
        <w:rPr>
          <w:b/>
          <w:bCs/>
        </w:rPr>
        <w:t>9</w:t>
      </w:r>
    </w:p>
    <w:p w14:paraId="374AF858" w14:textId="76E32616" w:rsidR="006471C8" w:rsidRPr="0046042A" w:rsidRDefault="0046042A" w:rsidP="00F53B15">
      <w:pPr>
        <w:ind w:left="426"/>
        <w:jc w:val="center"/>
        <w:rPr>
          <w:b/>
          <w:bCs/>
        </w:rPr>
      </w:pPr>
      <w:r w:rsidRPr="0046042A">
        <w:rPr>
          <w:b/>
          <w:bCs/>
        </w:rPr>
        <w:t>Wysokość kosztów w kolejnych latach, z podziałem na koszty bieżącej eksploatacji, koszty remontów oraz koszty modernizacji lokali i budynków wchodzących w skład mieszkaniowego zasobu gminy, koszty zarządu nieruchomościami wspólnymi, których gmina jest jednym ze współwłaścicieli, a także koszty inwestycyjne</w:t>
      </w:r>
      <w:r w:rsidR="006C7C30">
        <w:rPr>
          <w:b/>
          <w:bCs/>
        </w:rPr>
        <w:t xml:space="preserve"> w latach 2025 - 2029</w:t>
      </w:r>
    </w:p>
    <w:p w14:paraId="13BF497B" w14:textId="382B9ED8" w:rsidR="0046042A" w:rsidRDefault="0046042A" w:rsidP="0046042A">
      <w:pPr>
        <w:pStyle w:val="Tekstpodstawowy"/>
        <w:spacing w:line="300" w:lineRule="atLeast"/>
        <w:rPr>
          <w:rFonts w:asciiTheme="minorHAnsi" w:hAnsiTheme="minorHAnsi" w:cstheme="minorHAnsi"/>
          <w:sz w:val="22"/>
          <w:szCs w:val="22"/>
        </w:rPr>
      </w:pPr>
      <w:r w:rsidRPr="0046042A">
        <w:rPr>
          <w:rFonts w:asciiTheme="minorHAnsi" w:hAnsiTheme="minorHAnsi" w:cstheme="minorHAnsi"/>
          <w:b/>
          <w:bCs/>
          <w:sz w:val="22"/>
          <w:szCs w:val="22"/>
        </w:rPr>
        <w:lastRenderedPageBreak/>
        <w:t>§ 1</w:t>
      </w:r>
      <w:r>
        <w:rPr>
          <w:rFonts w:asciiTheme="minorHAnsi" w:hAnsiTheme="minorHAnsi" w:cstheme="minorHAnsi"/>
          <w:b/>
          <w:bCs/>
          <w:sz w:val="22"/>
          <w:szCs w:val="22"/>
        </w:rPr>
        <w:t>1</w:t>
      </w:r>
      <w:r w:rsidRPr="0046042A">
        <w:rPr>
          <w:rFonts w:asciiTheme="minorHAnsi" w:hAnsiTheme="minorHAnsi" w:cstheme="minorHAnsi"/>
          <w:b/>
          <w:bCs/>
          <w:sz w:val="22"/>
          <w:szCs w:val="22"/>
        </w:rPr>
        <w:t>.</w:t>
      </w:r>
      <w:r w:rsidR="00F26E14">
        <w:rPr>
          <w:rFonts w:asciiTheme="minorHAnsi" w:hAnsiTheme="minorHAnsi" w:cstheme="minorHAnsi"/>
          <w:b/>
          <w:bCs/>
          <w:sz w:val="22"/>
          <w:szCs w:val="22"/>
        </w:rPr>
        <w:t xml:space="preserve"> </w:t>
      </w:r>
      <w:r w:rsidR="00F26E14" w:rsidRPr="00F45C4D">
        <w:rPr>
          <w:rFonts w:asciiTheme="minorHAnsi" w:hAnsiTheme="minorHAnsi" w:cstheme="minorHAnsi"/>
          <w:sz w:val="22"/>
          <w:szCs w:val="22"/>
        </w:rPr>
        <w:t>1.</w:t>
      </w:r>
      <w:r w:rsidRPr="006471C8">
        <w:rPr>
          <w:rFonts w:asciiTheme="minorHAnsi" w:hAnsiTheme="minorHAnsi" w:cstheme="minorHAnsi"/>
          <w:sz w:val="22"/>
          <w:szCs w:val="22"/>
        </w:rPr>
        <w:t xml:space="preserve"> </w:t>
      </w:r>
      <w:r>
        <w:rPr>
          <w:rFonts w:asciiTheme="minorHAnsi" w:hAnsiTheme="minorHAnsi" w:cstheme="minorHAnsi"/>
          <w:sz w:val="22"/>
          <w:szCs w:val="22"/>
        </w:rPr>
        <w:t>Przyjmuje się następującą prognozę kosztów w zakresie bieżącej eksploatacji mieszkaniowego zasobu Gminy Komorniki, kosztów remontu, kosztów modernizacji, kosztów zarządu oraz koszty inwestycyjne.</w:t>
      </w:r>
    </w:p>
    <w:p w14:paraId="20327716" w14:textId="77777777" w:rsidR="0046042A" w:rsidRDefault="0046042A" w:rsidP="0046042A">
      <w:pPr>
        <w:pStyle w:val="Tekstpodstawowy"/>
        <w:spacing w:line="300" w:lineRule="atLeast"/>
        <w:rPr>
          <w:rFonts w:asciiTheme="minorHAnsi" w:hAnsiTheme="minorHAnsi" w:cstheme="minorHAnsi"/>
          <w:sz w:val="22"/>
          <w:szCs w:val="22"/>
        </w:rPr>
      </w:pPr>
    </w:p>
    <w:tbl>
      <w:tblPr>
        <w:tblStyle w:val="Tabela-Siatka"/>
        <w:tblW w:w="5000" w:type="pct"/>
        <w:tblLook w:val="04A0" w:firstRow="1" w:lastRow="0" w:firstColumn="1" w:lastColumn="0" w:noHBand="0" w:noVBand="1"/>
      </w:tblPr>
      <w:tblGrid>
        <w:gridCol w:w="486"/>
        <w:gridCol w:w="2028"/>
        <w:gridCol w:w="1374"/>
        <w:gridCol w:w="1374"/>
        <w:gridCol w:w="1374"/>
        <w:gridCol w:w="1213"/>
        <w:gridCol w:w="1213"/>
      </w:tblGrid>
      <w:tr w:rsidR="0046042A" w:rsidRPr="002F0B25" w14:paraId="0D1F294F" w14:textId="77777777" w:rsidTr="002F0B25">
        <w:tc>
          <w:tcPr>
            <w:tcW w:w="268" w:type="pct"/>
            <w:vMerge w:val="restart"/>
            <w:vAlign w:val="center"/>
          </w:tcPr>
          <w:p w14:paraId="4A68656C" w14:textId="2A1E71F6" w:rsidR="0046042A" w:rsidRPr="002F0B25" w:rsidRDefault="0046042A" w:rsidP="00E80357">
            <w:pPr>
              <w:pStyle w:val="Akapitzlist"/>
              <w:ind w:left="0"/>
              <w:jc w:val="center"/>
              <w:rPr>
                <w:rFonts w:cstheme="minorHAnsi"/>
                <w:b/>
              </w:rPr>
            </w:pPr>
            <w:r w:rsidRPr="002F0B25">
              <w:rPr>
                <w:rFonts w:cstheme="minorHAnsi"/>
                <w:b/>
              </w:rPr>
              <w:t>Lp</w:t>
            </w:r>
            <w:r w:rsidR="002F0B25">
              <w:rPr>
                <w:rFonts w:cstheme="minorHAnsi"/>
                <w:b/>
              </w:rPr>
              <w:t>.</w:t>
            </w:r>
          </w:p>
        </w:tc>
        <w:tc>
          <w:tcPr>
            <w:tcW w:w="1447" w:type="pct"/>
            <w:vMerge w:val="restart"/>
            <w:vAlign w:val="center"/>
          </w:tcPr>
          <w:p w14:paraId="2207B85A" w14:textId="77777777" w:rsidR="0046042A" w:rsidRPr="002F0B25" w:rsidRDefault="0046042A" w:rsidP="00E80357">
            <w:pPr>
              <w:pStyle w:val="Akapitzlist"/>
              <w:ind w:left="0"/>
              <w:jc w:val="center"/>
              <w:rPr>
                <w:rFonts w:cstheme="minorHAnsi"/>
                <w:b/>
              </w:rPr>
            </w:pPr>
            <w:r w:rsidRPr="002F0B25">
              <w:rPr>
                <w:rFonts w:cstheme="minorHAnsi"/>
                <w:b/>
              </w:rPr>
              <w:t>Rodzaj kosztów</w:t>
            </w:r>
          </w:p>
        </w:tc>
        <w:tc>
          <w:tcPr>
            <w:tcW w:w="3285" w:type="pct"/>
            <w:gridSpan w:val="5"/>
          </w:tcPr>
          <w:p w14:paraId="1D381F8D" w14:textId="5D789707" w:rsidR="0046042A" w:rsidRPr="002F0B25" w:rsidRDefault="0046042A" w:rsidP="00E80357">
            <w:pPr>
              <w:pStyle w:val="Akapitzlist"/>
              <w:ind w:left="0"/>
              <w:jc w:val="center"/>
              <w:rPr>
                <w:rFonts w:cstheme="minorHAnsi"/>
                <w:b/>
              </w:rPr>
            </w:pPr>
            <w:r w:rsidRPr="002F0B25">
              <w:rPr>
                <w:rFonts w:cstheme="minorHAnsi"/>
                <w:b/>
              </w:rPr>
              <w:t xml:space="preserve">Koszty w poszczególnych latach </w:t>
            </w:r>
            <w:r w:rsidR="002F0B25">
              <w:rPr>
                <w:rFonts w:cstheme="minorHAnsi"/>
                <w:b/>
              </w:rPr>
              <w:t>(zł)</w:t>
            </w:r>
          </w:p>
        </w:tc>
      </w:tr>
      <w:tr w:rsidR="0046042A" w:rsidRPr="002F0B25" w14:paraId="38BA7DDC" w14:textId="77777777" w:rsidTr="002F0B25">
        <w:tc>
          <w:tcPr>
            <w:tcW w:w="268" w:type="pct"/>
            <w:vMerge/>
          </w:tcPr>
          <w:p w14:paraId="7F80814E" w14:textId="77777777" w:rsidR="0046042A" w:rsidRPr="002F0B25" w:rsidRDefault="0046042A" w:rsidP="00E80357">
            <w:pPr>
              <w:pStyle w:val="Akapitzlist"/>
              <w:ind w:left="0"/>
              <w:jc w:val="center"/>
              <w:rPr>
                <w:rFonts w:cstheme="minorHAnsi"/>
                <w:b/>
              </w:rPr>
            </w:pPr>
          </w:p>
        </w:tc>
        <w:tc>
          <w:tcPr>
            <w:tcW w:w="1447" w:type="pct"/>
            <w:vMerge/>
          </w:tcPr>
          <w:p w14:paraId="7FED83B8" w14:textId="77777777" w:rsidR="0046042A" w:rsidRPr="002F0B25" w:rsidRDefault="0046042A" w:rsidP="00E80357">
            <w:pPr>
              <w:pStyle w:val="Akapitzlist"/>
              <w:ind w:left="0"/>
              <w:jc w:val="center"/>
              <w:rPr>
                <w:rFonts w:cstheme="minorHAnsi"/>
                <w:b/>
              </w:rPr>
            </w:pPr>
          </w:p>
        </w:tc>
        <w:tc>
          <w:tcPr>
            <w:tcW w:w="608" w:type="pct"/>
          </w:tcPr>
          <w:p w14:paraId="55E329BF" w14:textId="70B72197" w:rsidR="0046042A" w:rsidRPr="002F0B25" w:rsidRDefault="0046042A" w:rsidP="00E80357">
            <w:pPr>
              <w:pStyle w:val="Akapitzlist"/>
              <w:ind w:left="0"/>
              <w:jc w:val="center"/>
              <w:rPr>
                <w:rFonts w:cstheme="minorHAnsi"/>
                <w:b/>
              </w:rPr>
            </w:pPr>
            <w:r w:rsidRPr="002F0B25">
              <w:rPr>
                <w:rFonts w:cstheme="minorHAnsi"/>
                <w:b/>
              </w:rPr>
              <w:t>202</w:t>
            </w:r>
            <w:r w:rsidR="002F0B25">
              <w:rPr>
                <w:rFonts w:cstheme="minorHAnsi"/>
                <w:b/>
              </w:rPr>
              <w:t>5</w:t>
            </w:r>
            <w:r w:rsidRPr="002F0B25">
              <w:rPr>
                <w:rFonts w:cstheme="minorHAnsi"/>
                <w:b/>
              </w:rPr>
              <w:t xml:space="preserve"> r.</w:t>
            </w:r>
          </w:p>
        </w:tc>
        <w:tc>
          <w:tcPr>
            <w:tcW w:w="669" w:type="pct"/>
          </w:tcPr>
          <w:p w14:paraId="06C560A1" w14:textId="11630A57" w:rsidR="0046042A" w:rsidRPr="002F0B25" w:rsidRDefault="0046042A" w:rsidP="00E80357">
            <w:pPr>
              <w:pStyle w:val="Akapitzlist"/>
              <w:ind w:left="0"/>
              <w:jc w:val="center"/>
              <w:rPr>
                <w:rFonts w:cstheme="minorHAnsi"/>
                <w:b/>
              </w:rPr>
            </w:pPr>
            <w:r w:rsidRPr="002F0B25">
              <w:rPr>
                <w:rFonts w:cstheme="minorHAnsi"/>
                <w:b/>
              </w:rPr>
              <w:t>202</w:t>
            </w:r>
            <w:r w:rsidR="002F0B25">
              <w:rPr>
                <w:rFonts w:cstheme="minorHAnsi"/>
                <w:b/>
              </w:rPr>
              <w:t>6</w:t>
            </w:r>
            <w:r w:rsidRPr="002F0B25">
              <w:rPr>
                <w:rFonts w:cstheme="minorHAnsi"/>
                <w:b/>
              </w:rPr>
              <w:t xml:space="preserve"> r.</w:t>
            </w:r>
          </w:p>
        </w:tc>
        <w:tc>
          <w:tcPr>
            <w:tcW w:w="669" w:type="pct"/>
          </w:tcPr>
          <w:p w14:paraId="5D18A49A" w14:textId="010115C7" w:rsidR="0046042A" w:rsidRPr="002F0B25" w:rsidRDefault="0046042A" w:rsidP="00E80357">
            <w:pPr>
              <w:pStyle w:val="Akapitzlist"/>
              <w:ind w:left="0"/>
              <w:jc w:val="center"/>
              <w:rPr>
                <w:rFonts w:cstheme="minorHAnsi"/>
                <w:b/>
              </w:rPr>
            </w:pPr>
            <w:r w:rsidRPr="002F0B25">
              <w:rPr>
                <w:rFonts w:cstheme="minorHAnsi"/>
                <w:b/>
              </w:rPr>
              <w:t>202</w:t>
            </w:r>
            <w:r w:rsidR="002F0B25">
              <w:rPr>
                <w:rFonts w:cstheme="minorHAnsi"/>
                <w:b/>
              </w:rPr>
              <w:t>7</w:t>
            </w:r>
            <w:r w:rsidRPr="002F0B25">
              <w:rPr>
                <w:rFonts w:cstheme="minorHAnsi"/>
                <w:b/>
              </w:rPr>
              <w:t xml:space="preserve"> r.</w:t>
            </w:r>
          </w:p>
        </w:tc>
        <w:tc>
          <w:tcPr>
            <w:tcW w:w="669" w:type="pct"/>
          </w:tcPr>
          <w:p w14:paraId="156F96EB" w14:textId="0C05761D" w:rsidR="0046042A" w:rsidRPr="002F0B25" w:rsidRDefault="0046042A" w:rsidP="00E80357">
            <w:pPr>
              <w:pStyle w:val="Akapitzlist"/>
              <w:ind w:left="0"/>
              <w:jc w:val="center"/>
              <w:rPr>
                <w:rFonts w:cstheme="minorHAnsi"/>
                <w:b/>
              </w:rPr>
            </w:pPr>
            <w:r w:rsidRPr="002F0B25">
              <w:rPr>
                <w:rFonts w:cstheme="minorHAnsi"/>
                <w:b/>
              </w:rPr>
              <w:t>202</w:t>
            </w:r>
            <w:r w:rsidR="002F0B25">
              <w:rPr>
                <w:rFonts w:cstheme="minorHAnsi"/>
                <w:b/>
              </w:rPr>
              <w:t>8</w:t>
            </w:r>
            <w:r w:rsidRPr="002F0B25">
              <w:rPr>
                <w:rFonts w:cstheme="minorHAnsi"/>
                <w:b/>
              </w:rPr>
              <w:t xml:space="preserve"> r.</w:t>
            </w:r>
          </w:p>
        </w:tc>
        <w:tc>
          <w:tcPr>
            <w:tcW w:w="669" w:type="pct"/>
          </w:tcPr>
          <w:p w14:paraId="74FD6938" w14:textId="78D1C951" w:rsidR="0046042A" w:rsidRPr="002F0B25" w:rsidRDefault="0046042A" w:rsidP="00E80357">
            <w:pPr>
              <w:pStyle w:val="Akapitzlist"/>
              <w:ind w:left="0"/>
              <w:jc w:val="center"/>
              <w:rPr>
                <w:rFonts w:cstheme="minorHAnsi"/>
                <w:b/>
              </w:rPr>
            </w:pPr>
            <w:r w:rsidRPr="002F0B25">
              <w:rPr>
                <w:rFonts w:cstheme="minorHAnsi"/>
                <w:b/>
              </w:rPr>
              <w:t>202</w:t>
            </w:r>
            <w:r w:rsidR="002F0B25">
              <w:rPr>
                <w:rFonts w:cstheme="minorHAnsi"/>
                <w:b/>
              </w:rPr>
              <w:t>9</w:t>
            </w:r>
            <w:r w:rsidRPr="002F0B25">
              <w:rPr>
                <w:rFonts w:cstheme="minorHAnsi"/>
                <w:b/>
              </w:rPr>
              <w:t xml:space="preserve"> r.</w:t>
            </w:r>
          </w:p>
        </w:tc>
      </w:tr>
      <w:tr w:rsidR="0046042A" w:rsidRPr="002F0B25" w14:paraId="378909EF" w14:textId="77777777" w:rsidTr="002F0B25">
        <w:tc>
          <w:tcPr>
            <w:tcW w:w="268" w:type="pct"/>
            <w:vAlign w:val="center"/>
          </w:tcPr>
          <w:p w14:paraId="657B25C7" w14:textId="77777777" w:rsidR="0046042A" w:rsidRPr="002F0B25" w:rsidRDefault="0046042A" w:rsidP="00E80357">
            <w:pPr>
              <w:pStyle w:val="Akapitzlist"/>
              <w:ind w:left="0"/>
              <w:jc w:val="both"/>
              <w:rPr>
                <w:rFonts w:cstheme="minorHAnsi"/>
              </w:rPr>
            </w:pPr>
            <w:r w:rsidRPr="002F0B25">
              <w:rPr>
                <w:rFonts w:cstheme="minorHAnsi"/>
              </w:rPr>
              <w:t>1</w:t>
            </w:r>
          </w:p>
        </w:tc>
        <w:tc>
          <w:tcPr>
            <w:tcW w:w="1447" w:type="pct"/>
            <w:vAlign w:val="center"/>
          </w:tcPr>
          <w:p w14:paraId="406540B9" w14:textId="3891804F" w:rsidR="0046042A" w:rsidRPr="002F0B25" w:rsidRDefault="0046042A" w:rsidP="00E80357">
            <w:pPr>
              <w:pStyle w:val="Akapitzlist"/>
              <w:ind w:left="0"/>
              <w:rPr>
                <w:rFonts w:cstheme="minorHAnsi"/>
              </w:rPr>
            </w:pPr>
            <w:r w:rsidRPr="002F0B25">
              <w:rPr>
                <w:rFonts w:cstheme="minorHAnsi"/>
              </w:rPr>
              <w:t xml:space="preserve">Koszty </w:t>
            </w:r>
            <w:r w:rsidR="002F0B25">
              <w:rPr>
                <w:rFonts w:cstheme="minorHAnsi"/>
              </w:rPr>
              <w:t>bieżącej eksploatacji</w:t>
            </w:r>
          </w:p>
        </w:tc>
        <w:tc>
          <w:tcPr>
            <w:tcW w:w="608" w:type="pct"/>
            <w:vAlign w:val="center"/>
          </w:tcPr>
          <w:p w14:paraId="0770D599" w14:textId="7308FCE2" w:rsidR="0046042A" w:rsidRPr="002F0B25" w:rsidRDefault="005F3A89" w:rsidP="00E80357">
            <w:pPr>
              <w:pStyle w:val="Akapitzlist"/>
              <w:ind w:left="0"/>
              <w:jc w:val="center"/>
              <w:rPr>
                <w:rFonts w:cstheme="minorHAnsi"/>
              </w:rPr>
            </w:pPr>
            <w:r>
              <w:rPr>
                <w:rFonts w:cstheme="minorHAnsi"/>
              </w:rPr>
              <w:t>140 000,00</w:t>
            </w:r>
          </w:p>
        </w:tc>
        <w:tc>
          <w:tcPr>
            <w:tcW w:w="669" w:type="pct"/>
            <w:vAlign w:val="center"/>
          </w:tcPr>
          <w:p w14:paraId="0EBF00A3" w14:textId="6C8EFB36" w:rsidR="0046042A" w:rsidRPr="002F0B25" w:rsidRDefault="005F3A89" w:rsidP="00E80357">
            <w:pPr>
              <w:pStyle w:val="Akapitzlist"/>
              <w:ind w:left="0"/>
              <w:jc w:val="center"/>
              <w:rPr>
                <w:rFonts w:cstheme="minorHAnsi"/>
              </w:rPr>
            </w:pPr>
            <w:r>
              <w:rPr>
                <w:rFonts w:cstheme="minorHAnsi"/>
              </w:rPr>
              <w:t>150 000,00</w:t>
            </w:r>
          </w:p>
        </w:tc>
        <w:tc>
          <w:tcPr>
            <w:tcW w:w="669" w:type="pct"/>
            <w:vAlign w:val="center"/>
          </w:tcPr>
          <w:p w14:paraId="50882D94" w14:textId="3AB953F6" w:rsidR="0046042A" w:rsidRPr="002F0B25" w:rsidRDefault="005F3A89" w:rsidP="00E80357">
            <w:pPr>
              <w:pStyle w:val="Akapitzlist"/>
              <w:ind w:left="0"/>
              <w:jc w:val="center"/>
              <w:rPr>
                <w:rFonts w:cstheme="minorHAnsi"/>
              </w:rPr>
            </w:pPr>
            <w:r>
              <w:rPr>
                <w:rFonts w:cstheme="minorHAnsi"/>
              </w:rPr>
              <w:t>160 000,00</w:t>
            </w:r>
          </w:p>
        </w:tc>
        <w:tc>
          <w:tcPr>
            <w:tcW w:w="669" w:type="pct"/>
            <w:vAlign w:val="center"/>
          </w:tcPr>
          <w:p w14:paraId="134961BB" w14:textId="1BC75A46" w:rsidR="0046042A" w:rsidRPr="002F0B25" w:rsidRDefault="005F3A89" w:rsidP="00E80357">
            <w:pPr>
              <w:pStyle w:val="Akapitzlist"/>
              <w:ind w:left="0"/>
              <w:jc w:val="center"/>
              <w:rPr>
                <w:rFonts w:cstheme="minorHAnsi"/>
              </w:rPr>
            </w:pPr>
            <w:r>
              <w:rPr>
                <w:rFonts w:cstheme="minorHAnsi"/>
              </w:rPr>
              <w:t>170 000,00</w:t>
            </w:r>
          </w:p>
        </w:tc>
        <w:tc>
          <w:tcPr>
            <w:tcW w:w="669" w:type="pct"/>
            <w:vAlign w:val="center"/>
          </w:tcPr>
          <w:p w14:paraId="01370A0B" w14:textId="64A109DB" w:rsidR="0046042A" w:rsidRPr="002F0B25" w:rsidRDefault="005F3A89" w:rsidP="00E80357">
            <w:pPr>
              <w:pStyle w:val="Akapitzlist"/>
              <w:ind w:left="0"/>
              <w:jc w:val="center"/>
              <w:rPr>
                <w:rFonts w:cstheme="minorHAnsi"/>
              </w:rPr>
            </w:pPr>
            <w:r>
              <w:rPr>
                <w:rFonts w:cstheme="minorHAnsi"/>
              </w:rPr>
              <w:t>180 000,00</w:t>
            </w:r>
          </w:p>
        </w:tc>
      </w:tr>
      <w:tr w:rsidR="0046042A" w:rsidRPr="002F0B25" w14:paraId="70E01A22" w14:textId="77777777" w:rsidTr="002F0B25">
        <w:tc>
          <w:tcPr>
            <w:tcW w:w="268" w:type="pct"/>
            <w:vAlign w:val="center"/>
          </w:tcPr>
          <w:p w14:paraId="1F4EE9AC" w14:textId="77777777" w:rsidR="0046042A" w:rsidRPr="002F0B25" w:rsidRDefault="0046042A" w:rsidP="00E80357">
            <w:pPr>
              <w:pStyle w:val="Akapitzlist"/>
              <w:ind w:left="0"/>
              <w:jc w:val="both"/>
              <w:rPr>
                <w:rFonts w:cstheme="minorHAnsi"/>
              </w:rPr>
            </w:pPr>
            <w:r w:rsidRPr="002F0B25">
              <w:rPr>
                <w:rFonts w:cstheme="minorHAnsi"/>
              </w:rPr>
              <w:t>2</w:t>
            </w:r>
          </w:p>
        </w:tc>
        <w:tc>
          <w:tcPr>
            <w:tcW w:w="1447" w:type="pct"/>
            <w:vAlign w:val="center"/>
          </w:tcPr>
          <w:p w14:paraId="3167343E" w14:textId="08329D08" w:rsidR="0046042A" w:rsidRPr="002F0B25" w:rsidRDefault="0046042A" w:rsidP="00E80357">
            <w:pPr>
              <w:pStyle w:val="Akapitzlist"/>
              <w:ind w:left="0"/>
              <w:rPr>
                <w:rFonts w:cstheme="minorHAnsi"/>
              </w:rPr>
            </w:pPr>
            <w:r w:rsidRPr="002F0B25">
              <w:rPr>
                <w:rFonts w:cstheme="minorHAnsi"/>
              </w:rPr>
              <w:t xml:space="preserve">Koszty remontów </w:t>
            </w:r>
          </w:p>
        </w:tc>
        <w:tc>
          <w:tcPr>
            <w:tcW w:w="608" w:type="pct"/>
            <w:vAlign w:val="center"/>
          </w:tcPr>
          <w:p w14:paraId="5F4BF04F" w14:textId="3C0F1CED" w:rsidR="0046042A" w:rsidRPr="002F0B25" w:rsidRDefault="005F3A89" w:rsidP="00E80357">
            <w:pPr>
              <w:pStyle w:val="Akapitzlist"/>
              <w:ind w:left="0"/>
              <w:jc w:val="center"/>
              <w:rPr>
                <w:rFonts w:cstheme="minorHAnsi"/>
              </w:rPr>
            </w:pPr>
            <w:r>
              <w:rPr>
                <w:rFonts w:cstheme="minorHAnsi"/>
              </w:rPr>
              <w:t>240 000,00</w:t>
            </w:r>
          </w:p>
        </w:tc>
        <w:tc>
          <w:tcPr>
            <w:tcW w:w="669" w:type="pct"/>
            <w:vAlign w:val="center"/>
          </w:tcPr>
          <w:p w14:paraId="7F4EF2F8" w14:textId="54643C24" w:rsidR="0046042A" w:rsidRPr="002F0B25" w:rsidRDefault="005F3A89" w:rsidP="00E80357">
            <w:pPr>
              <w:pStyle w:val="Akapitzlist"/>
              <w:ind w:left="0"/>
              <w:jc w:val="center"/>
              <w:rPr>
                <w:rFonts w:cstheme="minorHAnsi"/>
              </w:rPr>
            </w:pPr>
            <w:r>
              <w:rPr>
                <w:rFonts w:cstheme="minorHAnsi"/>
              </w:rPr>
              <w:t>210 000,00</w:t>
            </w:r>
          </w:p>
        </w:tc>
        <w:tc>
          <w:tcPr>
            <w:tcW w:w="669" w:type="pct"/>
            <w:vAlign w:val="center"/>
          </w:tcPr>
          <w:p w14:paraId="12CBFFFE" w14:textId="4F64668E" w:rsidR="0046042A" w:rsidRPr="002F0B25" w:rsidRDefault="005F3A89" w:rsidP="00E80357">
            <w:pPr>
              <w:pStyle w:val="Akapitzlist"/>
              <w:ind w:left="0"/>
              <w:jc w:val="center"/>
              <w:rPr>
                <w:rFonts w:cstheme="minorHAnsi"/>
              </w:rPr>
            </w:pPr>
            <w:r>
              <w:rPr>
                <w:rFonts w:cstheme="minorHAnsi"/>
              </w:rPr>
              <w:t>260 000,00</w:t>
            </w:r>
          </w:p>
        </w:tc>
        <w:tc>
          <w:tcPr>
            <w:tcW w:w="669" w:type="pct"/>
            <w:vAlign w:val="center"/>
          </w:tcPr>
          <w:p w14:paraId="37287C54" w14:textId="74D57C99" w:rsidR="0046042A" w:rsidRPr="002F0B25" w:rsidRDefault="005F3A89" w:rsidP="00E80357">
            <w:pPr>
              <w:pStyle w:val="Akapitzlist"/>
              <w:ind w:left="0"/>
              <w:jc w:val="center"/>
              <w:rPr>
                <w:rFonts w:cstheme="minorHAnsi"/>
              </w:rPr>
            </w:pPr>
            <w:r>
              <w:rPr>
                <w:rFonts w:cstheme="minorHAnsi"/>
              </w:rPr>
              <w:t>210 000,00</w:t>
            </w:r>
          </w:p>
        </w:tc>
        <w:tc>
          <w:tcPr>
            <w:tcW w:w="669" w:type="pct"/>
            <w:vAlign w:val="center"/>
          </w:tcPr>
          <w:p w14:paraId="2736802E" w14:textId="352931A3" w:rsidR="0046042A" w:rsidRPr="002F0B25" w:rsidRDefault="005F3A89" w:rsidP="00E80357">
            <w:pPr>
              <w:pStyle w:val="Akapitzlist"/>
              <w:ind w:left="0"/>
              <w:jc w:val="center"/>
              <w:rPr>
                <w:rFonts w:cstheme="minorHAnsi"/>
              </w:rPr>
            </w:pPr>
            <w:r>
              <w:rPr>
                <w:rFonts w:cstheme="minorHAnsi"/>
              </w:rPr>
              <w:t>260 000,00</w:t>
            </w:r>
          </w:p>
        </w:tc>
      </w:tr>
      <w:tr w:rsidR="0046042A" w:rsidRPr="002F0B25" w14:paraId="5040093D" w14:textId="77777777" w:rsidTr="002F0B25">
        <w:tc>
          <w:tcPr>
            <w:tcW w:w="268" w:type="pct"/>
            <w:vAlign w:val="center"/>
          </w:tcPr>
          <w:p w14:paraId="605777BF" w14:textId="77777777" w:rsidR="0046042A" w:rsidRPr="002F0B25" w:rsidRDefault="0046042A" w:rsidP="00E80357">
            <w:pPr>
              <w:pStyle w:val="Akapitzlist"/>
              <w:ind w:left="0"/>
              <w:jc w:val="both"/>
              <w:rPr>
                <w:rFonts w:cstheme="minorHAnsi"/>
              </w:rPr>
            </w:pPr>
            <w:r w:rsidRPr="002F0B25">
              <w:rPr>
                <w:rFonts w:cstheme="minorHAnsi"/>
              </w:rPr>
              <w:t>3</w:t>
            </w:r>
          </w:p>
        </w:tc>
        <w:tc>
          <w:tcPr>
            <w:tcW w:w="1447" w:type="pct"/>
            <w:vAlign w:val="center"/>
          </w:tcPr>
          <w:p w14:paraId="1699BBB9" w14:textId="18BEF022" w:rsidR="0046042A" w:rsidRPr="002F0B25" w:rsidRDefault="0046042A" w:rsidP="00E80357">
            <w:pPr>
              <w:pStyle w:val="Akapitzlist"/>
              <w:ind w:left="0"/>
              <w:rPr>
                <w:rFonts w:cstheme="minorHAnsi"/>
              </w:rPr>
            </w:pPr>
            <w:r w:rsidRPr="002F0B25">
              <w:rPr>
                <w:rFonts w:cstheme="minorHAnsi"/>
              </w:rPr>
              <w:t xml:space="preserve">Koszty modernizacji </w:t>
            </w:r>
          </w:p>
        </w:tc>
        <w:tc>
          <w:tcPr>
            <w:tcW w:w="608" w:type="pct"/>
            <w:vAlign w:val="center"/>
          </w:tcPr>
          <w:p w14:paraId="22C359D0" w14:textId="32F28DCE" w:rsidR="005F3A89" w:rsidRPr="002F0B25" w:rsidRDefault="005F3A89" w:rsidP="005F3A89">
            <w:pPr>
              <w:pStyle w:val="Akapitzlist"/>
              <w:ind w:left="0"/>
              <w:jc w:val="center"/>
              <w:rPr>
                <w:rFonts w:cstheme="minorHAnsi"/>
              </w:rPr>
            </w:pPr>
            <w:r>
              <w:rPr>
                <w:rFonts w:cstheme="minorHAnsi"/>
              </w:rPr>
              <w:t>205 000,00</w:t>
            </w:r>
          </w:p>
        </w:tc>
        <w:tc>
          <w:tcPr>
            <w:tcW w:w="669" w:type="pct"/>
            <w:vAlign w:val="center"/>
          </w:tcPr>
          <w:p w14:paraId="1667E8F4" w14:textId="50BCBF3C" w:rsidR="0046042A" w:rsidRPr="002F0B25" w:rsidRDefault="005F3A89" w:rsidP="00E80357">
            <w:pPr>
              <w:pStyle w:val="Akapitzlist"/>
              <w:ind w:left="0"/>
              <w:jc w:val="center"/>
              <w:rPr>
                <w:rFonts w:cstheme="minorHAnsi"/>
              </w:rPr>
            </w:pPr>
            <w:r>
              <w:rPr>
                <w:rFonts w:cstheme="minorHAnsi"/>
              </w:rPr>
              <w:t>250 000,00</w:t>
            </w:r>
          </w:p>
        </w:tc>
        <w:tc>
          <w:tcPr>
            <w:tcW w:w="669" w:type="pct"/>
            <w:vAlign w:val="center"/>
          </w:tcPr>
          <w:p w14:paraId="2B608958" w14:textId="2A779257" w:rsidR="0046042A" w:rsidRPr="002F0B25" w:rsidRDefault="0072542F" w:rsidP="00E80357">
            <w:pPr>
              <w:pStyle w:val="Akapitzlist"/>
              <w:ind w:left="0"/>
              <w:jc w:val="center"/>
              <w:rPr>
                <w:rFonts w:cstheme="minorHAnsi"/>
              </w:rPr>
            </w:pPr>
            <w:r w:rsidRPr="0072542F">
              <w:rPr>
                <w:rFonts w:cstheme="minorHAnsi"/>
              </w:rPr>
              <w:t>6</w:t>
            </w:r>
            <w:r w:rsidR="005F3A89" w:rsidRPr="0072542F">
              <w:rPr>
                <w:rFonts w:cstheme="minorHAnsi"/>
              </w:rPr>
              <w:t>00 000,00</w:t>
            </w:r>
          </w:p>
        </w:tc>
        <w:tc>
          <w:tcPr>
            <w:tcW w:w="669" w:type="pct"/>
            <w:vAlign w:val="center"/>
          </w:tcPr>
          <w:p w14:paraId="3181D15B" w14:textId="672DB755" w:rsidR="0046042A" w:rsidRPr="002F0B25" w:rsidRDefault="008D75B6" w:rsidP="00E80357">
            <w:pPr>
              <w:pStyle w:val="Akapitzlist"/>
              <w:ind w:left="0"/>
              <w:jc w:val="center"/>
              <w:rPr>
                <w:rFonts w:cstheme="minorHAnsi"/>
              </w:rPr>
            </w:pPr>
            <w:r>
              <w:rPr>
                <w:rFonts w:cstheme="minorHAnsi"/>
              </w:rPr>
              <w:t>150 000,00</w:t>
            </w:r>
          </w:p>
        </w:tc>
        <w:tc>
          <w:tcPr>
            <w:tcW w:w="669" w:type="pct"/>
            <w:vAlign w:val="center"/>
          </w:tcPr>
          <w:p w14:paraId="5007A489" w14:textId="361FC6F4" w:rsidR="0046042A" w:rsidRPr="002F0B25" w:rsidRDefault="005F3A89" w:rsidP="00E80357">
            <w:pPr>
              <w:pStyle w:val="Akapitzlist"/>
              <w:ind w:left="0"/>
              <w:jc w:val="center"/>
              <w:rPr>
                <w:rFonts w:cstheme="minorHAnsi"/>
              </w:rPr>
            </w:pPr>
            <w:r>
              <w:rPr>
                <w:rFonts w:cstheme="minorHAnsi"/>
              </w:rPr>
              <w:t>0</w:t>
            </w:r>
          </w:p>
        </w:tc>
      </w:tr>
      <w:tr w:rsidR="002F0B25" w:rsidRPr="002F0B25" w14:paraId="3FDC788F" w14:textId="77777777" w:rsidTr="002F0B25">
        <w:tc>
          <w:tcPr>
            <w:tcW w:w="268" w:type="pct"/>
            <w:vAlign w:val="center"/>
          </w:tcPr>
          <w:p w14:paraId="652F98B0" w14:textId="1138CEBD" w:rsidR="002F0B25" w:rsidRPr="002F0B25" w:rsidRDefault="002F0B25" w:rsidP="00E80357">
            <w:pPr>
              <w:pStyle w:val="Akapitzlist"/>
              <w:ind w:left="0"/>
              <w:jc w:val="both"/>
              <w:rPr>
                <w:rFonts w:cstheme="minorHAnsi"/>
              </w:rPr>
            </w:pPr>
            <w:r>
              <w:rPr>
                <w:rFonts w:cstheme="minorHAnsi"/>
              </w:rPr>
              <w:t>4</w:t>
            </w:r>
          </w:p>
        </w:tc>
        <w:tc>
          <w:tcPr>
            <w:tcW w:w="1447" w:type="pct"/>
            <w:vAlign w:val="center"/>
          </w:tcPr>
          <w:p w14:paraId="6E01876E" w14:textId="0CBBDFBA" w:rsidR="002F0B25" w:rsidRPr="002F0B25" w:rsidRDefault="002F0B25" w:rsidP="00E80357">
            <w:pPr>
              <w:pStyle w:val="Akapitzlist"/>
              <w:ind w:left="0"/>
              <w:rPr>
                <w:rFonts w:cstheme="minorHAnsi"/>
              </w:rPr>
            </w:pPr>
            <w:r>
              <w:rPr>
                <w:rFonts w:cstheme="minorHAnsi"/>
              </w:rPr>
              <w:t>Koszty zarządu</w:t>
            </w:r>
          </w:p>
        </w:tc>
        <w:tc>
          <w:tcPr>
            <w:tcW w:w="608" w:type="pct"/>
            <w:vAlign w:val="center"/>
          </w:tcPr>
          <w:p w14:paraId="4BB56B97" w14:textId="327C23AF" w:rsidR="002F0B25" w:rsidRPr="002F0B25" w:rsidRDefault="00D30139" w:rsidP="00E80357">
            <w:pPr>
              <w:pStyle w:val="Akapitzlist"/>
              <w:ind w:left="0"/>
              <w:jc w:val="center"/>
              <w:rPr>
                <w:rFonts w:cstheme="minorHAnsi"/>
              </w:rPr>
            </w:pPr>
            <w:r>
              <w:rPr>
                <w:rFonts w:cstheme="minorHAnsi"/>
              </w:rPr>
              <w:t>570,00</w:t>
            </w:r>
          </w:p>
        </w:tc>
        <w:tc>
          <w:tcPr>
            <w:tcW w:w="669" w:type="pct"/>
            <w:vAlign w:val="center"/>
          </w:tcPr>
          <w:p w14:paraId="09ED579A" w14:textId="35F58837" w:rsidR="002F0B25" w:rsidRPr="002F0B25" w:rsidRDefault="00D30139" w:rsidP="00E80357">
            <w:pPr>
              <w:pStyle w:val="Akapitzlist"/>
              <w:ind w:left="0"/>
              <w:jc w:val="center"/>
              <w:rPr>
                <w:rFonts w:cstheme="minorHAnsi"/>
              </w:rPr>
            </w:pPr>
            <w:r>
              <w:rPr>
                <w:rFonts w:cstheme="minorHAnsi"/>
              </w:rPr>
              <w:t>656,00</w:t>
            </w:r>
          </w:p>
        </w:tc>
        <w:tc>
          <w:tcPr>
            <w:tcW w:w="669" w:type="pct"/>
            <w:vAlign w:val="center"/>
          </w:tcPr>
          <w:p w14:paraId="714656F4" w14:textId="720C5425" w:rsidR="002F0B25" w:rsidRPr="002F0B25" w:rsidRDefault="00D30139" w:rsidP="00E80357">
            <w:pPr>
              <w:pStyle w:val="Akapitzlist"/>
              <w:ind w:left="0"/>
              <w:jc w:val="center"/>
              <w:rPr>
                <w:rFonts w:cstheme="minorHAnsi"/>
              </w:rPr>
            </w:pPr>
            <w:r>
              <w:rPr>
                <w:rFonts w:cstheme="minorHAnsi"/>
              </w:rPr>
              <w:t>755,00</w:t>
            </w:r>
          </w:p>
        </w:tc>
        <w:tc>
          <w:tcPr>
            <w:tcW w:w="669" w:type="pct"/>
            <w:vAlign w:val="center"/>
          </w:tcPr>
          <w:p w14:paraId="3282CEB2" w14:textId="72E19113" w:rsidR="002F0B25" w:rsidRPr="002F0B25" w:rsidRDefault="00D30139" w:rsidP="00E80357">
            <w:pPr>
              <w:pStyle w:val="Akapitzlist"/>
              <w:ind w:left="0"/>
              <w:jc w:val="center"/>
              <w:rPr>
                <w:rFonts w:cstheme="minorHAnsi"/>
              </w:rPr>
            </w:pPr>
            <w:r>
              <w:rPr>
                <w:rFonts w:cstheme="minorHAnsi"/>
              </w:rPr>
              <w:t>869,00</w:t>
            </w:r>
          </w:p>
        </w:tc>
        <w:tc>
          <w:tcPr>
            <w:tcW w:w="669" w:type="pct"/>
            <w:vAlign w:val="center"/>
          </w:tcPr>
          <w:p w14:paraId="5F404679" w14:textId="0876BD07" w:rsidR="002F0B25" w:rsidRPr="002F0B25" w:rsidRDefault="00D30139" w:rsidP="00E80357">
            <w:pPr>
              <w:pStyle w:val="Akapitzlist"/>
              <w:ind w:left="0"/>
              <w:jc w:val="center"/>
              <w:rPr>
                <w:rFonts w:cstheme="minorHAnsi"/>
              </w:rPr>
            </w:pPr>
            <w:r>
              <w:rPr>
                <w:rFonts w:cstheme="minorHAnsi"/>
              </w:rPr>
              <w:t>1 000,00</w:t>
            </w:r>
          </w:p>
        </w:tc>
      </w:tr>
      <w:tr w:rsidR="002F0B25" w:rsidRPr="002F0B25" w14:paraId="734075A3" w14:textId="77777777" w:rsidTr="002F0B25">
        <w:tc>
          <w:tcPr>
            <w:tcW w:w="268" w:type="pct"/>
            <w:vAlign w:val="center"/>
          </w:tcPr>
          <w:p w14:paraId="52F71B43" w14:textId="4B5FECEB" w:rsidR="002F0B25" w:rsidRPr="002F0B25" w:rsidRDefault="002F0B25" w:rsidP="00E80357">
            <w:pPr>
              <w:pStyle w:val="Akapitzlist"/>
              <w:ind w:left="0"/>
              <w:jc w:val="both"/>
              <w:rPr>
                <w:rFonts w:cstheme="minorHAnsi"/>
              </w:rPr>
            </w:pPr>
            <w:r>
              <w:rPr>
                <w:rFonts w:cstheme="minorHAnsi"/>
              </w:rPr>
              <w:t>5</w:t>
            </w:r>
          </w:p>
        </w:tc>
        <w:tc>
          <w:tcPr>
            <w:tcW w:w="1447" w:type="pct"/>
            <w:vAlign w:val="center"/>
          </w:tcPr>
          <w:p w14:paraId="6CDDB9EC" w14:textId="19F88C53" w:rsidR="002F0B25" w:rsidRPr="002F0B25" w:rsidRDefault="002F0B25" w:rsidP="00E80357">
            <w:pPr>
              <w:pStyle w:val="Akapitzlist"/>
              <w:ind w:left="0"/>
              <w:rPr>
                <w:rFonts w:cstheme="minorHAnsi"/>
              </w:rPr>
            </w:pPr>
            <w:r>
              <w:rPr>
                <w:rFonts w:cstheme="minorHAnsi"/>
              </w:rPr>
              <w:t>Koszty inwestycyjne</w:t>
            </w:r>
          </w:p>
        </w:tc>
        <w:tc>
          <w:tcPr>
            <w:tcW w:w="608" w:type="pct"/>
            <w:vAlign w:val="center"/>
          </w:tcPr>
          <w:p w14:paraId="113271BF" w14:textId="771E9104" w:rsidR="002F0B25" w:rsidRPr="002F0B25" w:rsidRDefault="001358F2" w:rsidP="00E80357">
            <w:pPr>
              <w:pStyle w:val="Akapitzlist"/>
              <w:ind w:left="0"/>
              <w:jc w:val="center"/>
              <w:rPr>
                <w:rFonts w:cstheme="minorHAnsi"/>
              </w:rPr>
            </w:pPr>
            <w:r>
              <w:rPr>
                <w:rFonts w:cstheme="minorHAnsi"/>
              </w:rPr>
              <w:t>2 110 000,00</w:t>
            </w:r>
          </w:p>
        </w:tc>
        <w:tc>
          <w:tcPr>
            <w:tcW w:w="669" w:type="pct"/>
            <w:vAlign w:val="center"/>
          </w:tcPr>
          <w:p w14:paraId="57426C26" w14:textId="5913281F" w:rsidR="002F0B25" w:rsidRPr="002F0B25" w:rsidRDefault="001358F2" w:rsidP="00E80357">
            <w:pPr>
              <w:pStyle w:val="Akapitzlist"/>
              <w:ind w:left="0"/>
              <w:jc w:val="center"/>
              <w:rPr>
                <w:rFonts w:cstheme="minorHAnsi"/>
              </w:rPr>
            </w:pPr>
            <w:r>
              <w:rPr>
                <w:rFonts w:cstheme="minorHAnsi"/>
              </w:rPr>
              <w:t>3 000 000,00</w:t>
            </w:r>
          </w:p>
        </w:tc>
        <w:tc>
          <w:tcPr>
            <w:tcW w:w="669" w:type="pct"/>
            <w:vAlign w:val="center"/>
          </w:tcPr>
          <w:p w14:paraId="2A3BDDC0" w14:textId="05932400" w:rsidR="002F0B25" w:rsidRPr="002F0B25" w:rsidRDefault="001358F2" w:rsidP="00E80357">
            <w:pPr>
              <w:pStyle w:val="Akapitzlist"/>
              <w:ind w:left="0"/>
              <w:jc w:val="center"/>
              <w:rPr>
                <w:rFonts w:cstheme="minorHAnsi"/>
              </w:rPr>
            </w:pPr>
            <w:r>
              <w:rPr>
                <w:rFonts w:cstheme="minorHAnsi"/>
              </w:rPr>
              <w:t>2 000 000,00</w:t>
            </w:r>
          </w:p>
        </w:tc>
        <w:tc>
          <w:tcPr>
            <w:tcW w:w="669" w:type="pct"/>
            <w:vAlign w:val="center"/>
          </w:tcPr>
          <w:p w14:paraId="55B6D076" w14:textId="78D8BFAE" w:rsidR="002F0B25" w:rsidRPr="002F0B25" w:rsidRDefault="001358F2" w:rsidP="00E80357">
            <w:pPr>
              <w:pStyle w:val="Akapitzlist"/>
              <w:ind w:left="0"/>
              <w:jc w:val="center"/>
              <w:rPr>
                <w:rFonts w:cstheme="minorHAnsi"/>
              </w:rPr>
            </w:pPr>
            <w:r>
              <w:rPr>
                <w:rFonts w:cstheme="minorHAnsi"/>
              </w:rPr>
              <w:t>0</w:t>
            </w:r>
          </w:p>
        </w:tc>
        <w:tc>
          <w:tcPr>
            <w:tcW w:w="669" w:type="pct"/>
            <w:vAlign w:val="center"/>
          </w:tcPr>
          <w:p w14:paraId="6168242B" w14:textId="2E3E7272" w:rsidR="002F0B25" w:rsidRPr="002F0B25" w:rsidRDefault="001358F2" w:rsidP="00E80357">
            <w:pPr>
              <w:pStyle w:val="Akapitzlist"/>
              <w:ind w:left="0"/>
              <w:jc w:val="center"/>
              <w:rPr>
                <w:rFonts w:cstheme="minorHAnsi"/>
              </w:rPr>
            </w:pPr>
            <w:r>
              <w:rPr>
                <w:rFonts w:cstheme="minorHAnsi"/>
              </w:rPr>
              <w:t>0</w:t>
            </w:r>
          </w:p>
        </w:tc>
      </w:tr>
      <w:tr w:rsidR="002F0B25" w:rsidRPr="002F0B25" w14:paraId="444E7705" w14:textId="77777777" w:rsidTr="002F0B25">
        <w:tc>
          <w:tcPr>
            <w:tcW w:w="1715" w:type="pct"/>
            <w:gridSpan w:val="2"/>
            <w:vAlign w:val="center"/>
          </w:tcPr>
          <w:p w14:paraId="205731C1" w14:textId="73795E74" w:rsidR="002F0B25" w:rsidRPr="002F0B25" w:rsidRDefault="002F0B25" w:rsidP="002F0B25">
            <w:pPr>
              <w:pStyle w:val="Akapitzlist"/>
              <w:ind w:left="0"/>
              <w:jc w:val="center"/>
              <w:rPr>
                <w:rFonts w:cstheme="minorHAnsi"/>
              </w:rPr>
            </w:pPr>
            <w:r>
              <w:rPr>
                <w:rFonts w:cstheme="minorHAnsi"/>
              </w:rPr>
              <w:t>RAZEM</w:t>
            </w:r>
          </w:p>
        </w:tc>
        <w:tc>
          <w:tcPr>
            <w:tcW w:w="608" w:type="pct"/>
            <w:vAlign w:val="center"/>
          </w:tcPr>
          <w:p w14:paraId="4C1C79DA" w14:textId="76A3C29C" w:rsidR="002F0B25" w:rsidRPr="002F0B25" w:rsidRDefault="00E96AF2" w:rsidP="00E80357">
            <w:pPr>
              <w:pStyle w:val="Akapitzlist"/>
              <w:ind w:left="0"/>
              <w:jc w:val="center"/>
              <w:rPr>
                <w:rFonts w:cstheme="minorHAnsi"/>
              </w:rPr>
            </w:pPr>
            <w:r>
              <w:rPr>
                <w:rFonts w:cstheme="minorHAnsi"/>
              </w:rPr>
              <w:t>2 695 000,00</w:t>
            </w:r>
          </w:p>
        </w:tc>
        <w:tc>
          <w:tcPr>
            <w:tcW w:w="669" w:type="pct"/>
            <w:vAlign w:val="center"/>
          </w:tcPr>
          <w:p w14:paraId="7B7B77A2" w14:textId="34940C88" w:rsidR="002F0B25" w:rsidRPr="002F0B25" w:rsidRDefault="00E96AF2" w:rsidP="00E80357">
            <w:pPr>
              <w:pStyle w:val="Akapitzlist"/>
              <w:ind w:left="0"/>
              <w:jc w:val="center"/>
              <w:rPr>
                <w:rFonts w:cstheme="minorHAnsi"/>
              </w:rPr>
            </w:pPr>
            <w:r>
              <w:rPr>
                <w:rFonts w:cstheme="minorHAnsi"/>
              </w:rPr>
              <w:t>3 610 000,00</w:t>
            </w:r>
          </w:p>
        </w:tc>
        <w:tc>
          <w:tcPr>
            <w:tcW w:w="669" w:type="pct"/>
            <w:vAlign w:val="center"/>
          </w:tcPr>
          <w:p w14:paraId="4AA98114" w14:textId="5576169C" w:rsidR="002F0B25" w:rsidRPr="002F0B25" w:rsidRDefault="00E96AF2" w:rsidP="00E80357">
            <w:pPr>
              <w:pStyle w:val="Akapitzlist"/>
              <w:ind w:left="0"/>
              <w:jc w:val="center"/>
              <w:rPr>
                <w:rFonts w:cstheme="minorHAnsi"/>
              </w:rPr>
            </w:pPr>
            <w:r>
              <w:rPr>
                <w:rFonts w:cstheme="minorHAnsi"/>
              </w:rPr>
              <w:t>3 020 000,00</w:t>
            </w:r>
          </w:p>
        </w:tc>
        <w:tc>
          <w:tcPr>
            <w:tcW w:w="669" w:type="pct"/>
            <w:vAlign w:val="center"/>
          </w:tcPr>
          <w:p w14:paraId="63C9C696" w14:textId="3BF2DC54" w:rsidR="002F0B25" w:rsidRPr="002F0B25" w:rsidRDefault="00E96AF2" w:rsidP="00E80357">
            <w:pPr>
              <w:pStyle w:val="Akapitzlist"/>
              <w:ind w:left="0"/>
              <w:jc w:val="center"/>
              <w:rPr>
                <w:rFonts w:cstheme="minorHAnsi"/>
              </w:rPr>
            </w:pPr>
            <w:r>
              <w:rPr>
                <w:rFonts w:cstheme="minorHAnsi"/>
              </w:rPr>
              <w:t>530 000,00</w:t>
            </w:r>
          </w:p>
        </w:tc>
        <w:tc>
          <w:tcPr>
            <w:tcW w:w="669" w:type="pct"/>
            <w:vAlign w:val="center"/>
          </w:tcPr>
          <w:p w14:paraId="4ED45F07" w14:textId="6C43A36C" w:rsidR="002F0B25" w:rsidRPr="002F0B25" w:rsidRDefault="003D1F77" w:rsidP="00E80357">
            <w:pPr>
              <w:pStyle w:val="Akapitzlist"/>
              <w:ind w:left="0"/>
              <w:jc w:val="center"/>
              <w:rPr>
                <w:rFonts w:cstheme="minorHAnsi"/>
              </w:rPr>
            </w:pPr>
            <w:r>
              <w:rPr>
                <w:rFonts w:cstheme="minorHAnsi"/>
              </w:rPr>
              <w:t>441 000,00</w:t>
            </w:r>
          </w:p>
        </w:tc>
      </w:tr>
    </w:tbl>
    <w:p w14:paraId="272826E2" w14:textId="77777777" w:rsidR="0046042A" w:rsidRPr="006471C8" w:rsidRDefault="0046042A" w:rsidP="0046042A">
      <w:pPr>
        <w:pStyle w:val="Tekstpodstawowy"/>
        <w:spacing w:line="300" w:lineRule="atLeast"/>
        <w:rPr>
          <w:rFonts w:asciiTheme="minorHAnsi" w:hAnsiTheme="minorHAnsi" w:cstheme="minorHAnsi"/>
          <w:sz w:val="22"/>
          <w:szCs w:val="22"/>
        </w:rPr>
      </w:pPr>
    </w:p>
    <w:p w14:paraId="0104A6BA" w14:textId="0F64BA0A" w:rsidR="002F0B25" w:rsidRDefault="002F0B25" w:rsidP="002F0B25">
      <w:pPr>
        <w:pStyle w:val="Tekstpodstawowy"/>
        <w:spacing w:line="300" w:lineRule="atLeast"/>
        <w:rPr>
          <w:rFonts w:asciiTheme="minorHAnsi" w:hAnsiTheme="minorHAnsi" w:cstheme="minorHAnsi"/>
          <w:sz w:val="22"/>
          <w:szCs w:val="22"/>
        </w:rPr>
      </w:pPr>
      <w:r w:rsidRPr="00F45C4D">
        <w:rPr>
          <w:rFonts w:asciiTheme="minorHAnsi" w:hAnsiTheme="minorHAnsi" w:cstheme="minorHAnsi"/>
          <w:sz w:val="22"/>
          <w:szCs w:val="22"/>
        </w:rPr>
        <w:t>2.</w:t>
      </w:r>
      <w:r w:rsidRPr="006471C8">
        <w:rPr>
          <w:rFonts w:asciiTheme="minorHAnsi" w:hAnsiTheme="minorHAnsi" w:cstheme="minorHAnsi"/>
          <w:sz w:val="22"/>
          <w:szCs w:val="22"/>
        </w:rPr>
        <w:t xml:space="preserve"> </w:t>
      </w:r>
      <w:r>
        <w:rPr>
          <w:rFonts w:asciiTheme="minorHAnsi" w:hAnsiTheme="minorHAnsi" w:cstheme="minorHAnsi"/>
          <w:sz w:val="22"/>
          <w:szCs w:val="22"/>
        </w:rPr>
        <w:t>Zaliczki tytułem kosztów zarządu nieruchomościami wspólnymi, gdzie gmina jest jedynym ze współwłaścicieli wnoszone są w wysokości określonej uchwała podjętą przez wspólnotę mieszkaniową.</w:t>
      </w:r>
    </w:p>
    <w:p w14:paraId="7A048E11" w14:textId="77777777" w:rsidR="0026016B" w:rsidRPr="0006685E" w:rsidRDefault="0026016B" w:rsidP="007561E1">
      <w:pPr>
        <w:contextualSpacing/>
        <w:jc w:val="both"/>
      </w:pPr>
    </w:p>
    <w:p w14:paraId="7591E572" w14:textId="47274934" w:rsidR="00195C17" w:rsidRPr="00536E10" w:rsidRDefault="00195C17" w:rsidP="00195C17">
      <w:pPr>
        <w:contextualSpacing/>
        <w:jc w:val="center"/>
        <w:rPr>
          <w:b/>
          <w:bCs/>
        </w:rPr>
      </w:pPr>
      <w:r w:rsidRPr="00536E10">
        <w:rPr>
          <w:b/>
          <w:bCs/>
        </w:rPr>
        <w:t xml:space="preserve">Rozdział </w:t>
      </w:r>
      <w:r>
        <w:rPr>
          <w:b/>
          <w:bCs/>
        </w:rPr>
        <w:t>10</w:t>
      </w:r>
    </w:p>
    <w:p w14:paraId="337BDCAD" w14:textId="29EC1EAB" w:rsidR="00195C17" w:rsidRDefault="00195C17" w:rsidP="004524DF">
      <w:pPr>
        <w:contextualSpacing/>
        <w:jc w:val="center"/>
        <w:rPr>
          <w:b/>
          <w:bCs/>
        </w:rPr>
      </w:pPr>
      <w:r w:rsidRPr="00195C17">
        <w:rPr>
          <w:b/>
          <w:bCs/>
        </w:rPr>
        <w:t>Inne działania mające na celu poprawę wykorzystania i racjonalizację gospodarowania mieszkaniowym zasobem Gminy Komorniki</w:t>
      </w:r>
    </w:p>
    <w:p w14:paraId="66BEF63C" w14:textId="77777777" w:rsidR="000B3819" w:rsidRDefault="00195C17" w:rsidP="00195C17">
      <w:pPr>
        <w:pStyle w:val="Tekstpodstawowy"/>
        <w:spacing w:line="300" w:lineRule="atLeast"/>
        <w:rPr>
          <w:rFonts w:asciiTheme="minorHAnsi" w:hAnsiTheme="minorHAnsi" w:cstheme="minorHAnsi"/>
          <w:sz w:val="22"/>
          <w:szCs w:val="22"/>
        </w:rPr>
      </w:pPr>
      <w:r w:rsidRPr="0046042A">
        <w:rPr>
          <w:rFonts w:asciiTheme="minorHAnsi" w:hAnsiTheme="minorHAnsi" w:cstheme="minorHAnsi"/>
          <w:b/>
          <w:bCs/>
          <w:sz w:val="22"/>
          <w:szCs w:val="22"/>
        </w:rPr>
        <w:t>§ 1</w:t>
      </w:r>
      <w:r>
        <w:rPr>
          <w:rFonts w:asciiTheme="minorHAnsi" w:hAnsiTheme="minorHAnsi" w:cstheme="minorHAnsi"/>
          <w:b/>
          <w:bCs/>
          <w:sz w:val="22"/>
          <w:szCs w:val="22"/>
        </w:rPr>
        <w:t>2</w:t>
      </w:r>
      <w:r w:rsidRPr="0046042A">
        <w:rPr>
          <w:rFonts w:asciiTheme="minorHAnsi" w:hAnsiTheme="minorHAnsi" w:cstheme="minorHAnsi"/>
          <w:b/>
          <w:bCs/>
          <w:sz w:val="22"/>
          <w:szCs w:val="22"/>
        </w:rPr>
        <w:t xml:space="preserve">. </w:t>
      </w:r>
      <w:r w:rsidRPr="00F45C4D">
        <w:rPr>
          <w:rFonts w:asciiTheme="minorHAnsi" w:hAnsiTheme="minorHAnsi" w:cstheme="minorHAnsi"/>
          <w:sz w:val="22"/>
          <w:szCs w:val="22"/>
        </w:rPr>
        <w:t>1.</w:t>
      </w:r>
      <w:r w:rsidRPr="006471C8">
        <w:rPr>
          <w:rFonts w:asciiTheme="minorHAnsi" w:hAnsiTheme="minorHAnsi" w:cstheme="minorHAnsi"/>
          <w:sz w:val="22"/>
          <w:szCs w:val="22"/>
        </w:rPr>
        <w:t xml:space="preserve"> </w:t>
      </w:r>
      <w:r>
        <w:rPr>
          <w:rFonts w:asciiTheme="minorHAnsi" w:hAnsiTheme="minorHAnsi" w:cstheme="minorHAnsi"/>
          <w:sz w:val="22"/>
          <w:szCs w:val="22"/>
        </w:rPr>
        <w:t xml:space="preserve">W celu racjonalnego wykorzystania mieszkaniowego zasobu Gminy Komorniki </w:t>
      </w:r>
      <w:r w:rsidR="000B3819">
        <w:rPr>
          <w:rFonts w:asciiTheme="minorHAnsi" w:hAnsiTheme="minorHAnsi" w:cstheme="minorHAnsi"/>
          <w:sz w:val="22"/>
          <w:szCs w:val="22"/>
        </w:rPr>
        <w:t>podejmowane będą następujące działania:</w:t>
      </w:r>
    </w:p>
    <w:p w14:paraId="7FAEDB3F" w14:textId="1B0EB301" w:rsidR="00195C17" w:rsidRDefault="000B3819"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zamian</w:t>
      </w:r>
      <w:r w:rsidR="00603BEA">
        <w:rPr>
          <w:rFonts w:asciiTheme="minorHAnsi" w:hAnsiTheme="minorHAnsi" w:cstheme="minorHAnsi"/>
          <w:sz w:val="22"/>
          <w:szCs w:val="22"/>
        </w:rPr>
        <w:t>a</w:t>
      </w:r>
      <w:r>
        <w:rPr>
          <w:rFonts w:asciiTheme="minorHAnsi" w:hAnsiTheme="minorHAnsi" w:cstheme="minorHAnsi"/>
          <w:sz w:val="22"/>
          <w:szCs w:val="22"/>
        </w:rPr>
        <w:t xml:space="preserve"> lokali mieszkalnych w ramach zasobu mieszkaniowego, co pozwoli na to, aby lokale były zajmowane przez rodziny zgodnie z liczbą członków gospodarstwa domowego, jak również sytuacj</w:t>
      </w:r>
      <w:r w:rsidR="00603BEA">
        <w:rPr>
          <w:rFonts w:asciiTheme="minorHAnsi" w:hAnsiTheme="minorHAnsi" w:cstheme="minorHAnsi"/>
          <w:sz w:val="22"/>
          <w:szCs w:val="22"/>
        </w:rPr>
        <w:t>ą</w:t>
      </w:r>
      <w:r>
        <w:rPr>
          <w:rFonts w:asciiTheme="minorHAnsi" w:hAnsiTheme="minorHAnsi" w:cstheme="minorHAnsi"/>
          <w:sz w:val="22"/>
          <w:szCs w:val="22"/>
        </w:rPr>
        <w:t xml:space="preserve"> materialną,</w:t>
      </w:r>
    </w:p>
    <w:p w14:paraId="70EFC3E0" w14:textId="6C0C1D8A" w:rsidR="00910CC1" w:rsidRDefault="00910CC1"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gmina nie przewiduje zamian lokali związanych z remontami budynków i lokali,</w:t>
      </w:r>
    </w:p>
    <w:p w14:paraId="4954663B" w14:textId="50197E2B" w:rsidR="000B3819" w:rsidRDefault="000B3819"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windykacja zaległości czynszowych,</w:t>
      </w:r>
    </w:p>
    <w:p w14:paraId="06B428E3" w14:textId="53C6A595" w:rsidR="000B3819" w:rsidRDefault="000B3819"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weryfikacja umów najmu,</w:t>
      </w:r>
    </w:p>
    <w:p w14:paraId="398120FE" w14:textId="389D90D6" w:rsidR="000B3819" w:rsidRDefault="000B3819"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intensyfikacja działań zmierzających do pozyskiwania środków finansowych ze źródeł pozabudżetowych,</w:t>
      </w:r>
    </w:p>
    <w:p w14:paraId="5A824A23" w14:textId="3D6A0E1F" w:rsidR="000B3819" w:rsidRDefault="000B3819"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w celu możliwości zaspokajania potrzeb mieszkaniowych społeczności samorządowej</w:t>
      </w:r>
      <w:r w:rsidR="00603BEA">
        <w:rPr>
          <w:rFonts w:asciiTheme="minorHAnsi" w:hAnsiTheme="minorHAnsi" w:cstheme="minorHAnsi"/>
          <w:sz w:val="22"/>
          <w:szCs w:val="22"/>
        </w:rPr>
        <w:t xml:space="preserve"> realizowanie inwestycji pozwalających na</w:t>
      </w:r>
      <w:r>
        <w:rPr>
          <w:rFonts w:asciiTheme="minorHAnsi" w:hAnsiTheme="minorHAnsi" w:cstheme="minorHAnsi"/>
          <w:sz w:val="22"/>
          <w:szCs w:val="22"/>
        </w:rPr>
        <w:t xml:space="preserve"> zwiększenie liczby lokali mieszkaniowych w mieszkaniowym zasobie gminy (m.in. budowa</w:t>
      </w:r>
      <w:r w:rsidR="00910CC1">
        <w:rPr>
          <w:rFonts w:asciiTheme="minorHAnsi" w:hAnsiTheme="minorHAnsi" w:cstheme="minorHAnsi"/>
          <w:sz w:val="22"/>
          <w:szCs w:val="22"/>
        </w:rPr>
        <w:t xml:space="preserve"> nowych budynków mieszkalnych),</w:t>
      </w:r>
    </w:p>
    <w:p w14:paraId="2BF18255" w14:textId="0A040D02" w:rsidR="00910CC1" w:rsidRDefault="00910CC1"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Gmina Komorniki nie planuje sprzedaży lokali mieszkalnych zgodnie z § 6 niniejsze</w:t>
      </w:r>
      <w:r w:rsidR="007819A1">
        <w:rPr>
          <w:rFonts w:asciiTheme="minorHAnsi" w:hAnsiTheme="minorHAnsi" w:cstheme="minorHAnsi"/>
          <w:sz w:val="22"/>
          <w:szCs w:val="22"/>
        </w:rPr>
        <w:t>go programu</w:t>
      </w:r>
      <w:r>
        <w:rPr>
          <w:rFonts w:asciiTheme="minorHAnsi" w:hAnsiTheme="minorHAnsi" w:cstheme="minorHAnsi"/>
          <w:sz w:val="22"/>
          <w:szCs w:val="22"/>
        </w:rPr>
        <w:t>,</w:t>
      </w:r>
    </w:p>
    <w:p w14:paraId="0C2C2911" w14:textId="05572E87" w:rsidR="00910CC1" w:rsidRDefault="00910CC1"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Umożliwienie zadłużonym najemcom oraz członkom ich gospodarstw domowych odpracowania zadłużenia czynszowego, zgodnie z Zarządzeniem Wójta Gminy Komorniki nr</w:t>
      </w:r>
      <w:r w:rsidR="00603BEA">
        <w:rPr>
          <w:rFonts w:asciiTheme="minorHAnsi" w:hAnsiTheme="minorHAnsi" w:cstheme="minorHAnsi"/>
          <w:sz w:val="22"/>
          <w:szCs w:val="22"/>
        </w:rPr>
        <w:t> </w:t>
      </w:r>
      <w:r>
        <w:rPr>
          <w:rFonts w:asciiTheme="minorHAnsi" w:hAnsiTheme="minorHAnsi" w:cstheme="minorHAnsi"/>
          <w:sz w:val="22"/>
          <w:szCs w:val="22"/>
        </w:rPr>
        <w:t>268/2017 z dnia 14 listopada 2017 r.,</w:t>
      </w:r>
    </w:p>
    <w:p w14:paraId="641F7C4C" w14:textId="3C13459F" w:rsidR="00603BEA" w:rsidRDefault="00910CC1" w:rsidP="00C033C1">
      <w:pPr>
        <w:pStyle w:val="Tekstpodstawowy"/>
        <w:numPr>
          <w:ilvl w:val="0"/>
          <w:numId w:val="20"/>
        </w:numPr>
        <w:spacing w:line="300" w:lineRule="atLeast"/>
        <w:rPr>
          <w:rFonts w:asciiTheme="minorHAnsi" w:hAnsiTheme="minorHAnsi" w:cstheme="minorHAnsi"/>
          <w:sz w:val="22"/>
          <w:szCs w:val="22"/>
        </w:rPr>
      </w:pPr>
      <w:r>
        <w:rPr>
          <w:rFonts w:asciiTheme="minorHAnsi" w:hAnsiTheme="minorHAnsi" w:cstheme="minorHAnsi"/>
          <w:sz w:val="22"/>
          <w:szCs w:val="22"/>
        </w:rPr>
        <w:t>Informowanie i proponowanie zadłużonym najemcom oraz członkom ich rodzin</w:t>
      </w:r>
      <w:r w:rsidR="00603BEA">
        <w:rPr>
          <w:rFonts w:asciiTheme="minorHAnsi" w:hAnsiTheme="minorHAnsi" w:cstheme="minorHAnsi"/>
          <w:sz w:val="22"/>
          <w:szCs w:val="22"/>
        </w:rPr>
        <w:t xml:space="preserve"> możliwości podjęcia aktywizacji zawodowej w działającym na terenie Gminy Komorniki Centrum Integracji Społecznej,</w:t>
      </w:r>
    </w:p>
    <w:p w14:paraId="4453F79E" w14:textId="77777777" w:rsidR="00C033C1" w:rsidRDefault="00C033C1" w:rsidP="002138EE">
      <w:pPr>
        <w:pStyle w:val="Tekstpodstawowy"/>
        <w:spacing w:line="300" w:lineRule="atLeast"/>
        <w:ind w:left="426"/>
        <w:rPr>
          <w:rFonts w:asciiTheme="minorHAnsi" w:hAnsiTheme="minorHAnsi" w:cstheme="minorHAnsi"/>
          <w:sz w:val="22"/>
          <w:szCs w:val="22"/>
        </w:rPr>
      </w:pPr>
      <w:r>
        <w:rPr>
          <w:rFonts w:asciiTheme="minorHAnsi" w:hAnsiTheme="minorHAnsi" w:cstheme="minorHAnsi"/>
          <w:sz w:val="22"/>
          <w:szCs w:val="22"/>
        </w:rPr>
        <w:t xml:space="preserve">10) </w:t>
      </w:r>
      <w:r w:rsidRPr="00C033C1">
        <w:rPr>
          <w:rFonts w:asciiTheme="minorHAnsi" w:hAnsiTheme="minorHAnsi" w:cstheme="minorHAnsi"/>
          <w:sz w:val="22"/>
          <w:szCs w:val="22"/>
        </w:rPr>
        <w:t xml:space="preserve">realizację założeń przyjętego uchwałą Nr XLIX/477/2018 Rady Gminy Komorniki z dnia 26 </w:t>
      </w:r>
      <w:r>
        <w:rPr>
          <w:rFonts w:asciiTheme="minorHAnsi" w:hAnsiTheme="minorHAnsi" w:cstheme="minorHAnsi"/>
          <w:sz w:val="22"/>
          <w:szCs w:val="22"/>
        </w:rPr>
        <w:t xml:space="preserve">    </w:t>
      </w:r>
    </w:p>
    <w:p w14:paraId="7B3EA0DA" w14:textId="77777777" w:rsidR="001769C6" w:rsidRDefault="001769C6" w:rsidP="002138EE">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 xml:space="preserve">              </w:t>
      </w:r>
      <w:r w:rsidR="00C033C1">
        <w:rPr>
          <w:rFonts w:asciiTheme="minorHAnsi" w:hAnsiTheme="minorHAnsi" w:cstheme="minorHAnsi"/>
          <w:sz w:val="22"/>
          <w:szCs w:val="22"/>
        </w:rPr>
        <w:t xml:space="preserve"> </w:t>
      </w:r>
      <w:r w:rsidR="00C033C1" w:rsidRPr="00C033C1">
        <w:rPr>
          <w:rFonts w:asciiTheme="minorHAnsi" w:hAnsiTheme="minorHAnsi" w:cstheme="minorHAnsi"/>
          <w:sz w:val="22"/>
          <w:szCs w:val="22"/>
        </w:rPr>
        <w:t>marca 2018 r. Gminnego Programu Rewitalizacji dla Gminy Komorniki</w:t>
      </w:r>
      <w:r w:rsidR="00C033C1">
        <w:rPr>
          <w:rFonts w:asciiTheme="minorHAnsi" w:hAnsiTheme="minorHAnsi" w:cstheme="minorHAnsi"/>
          <w:sz w:val="22"/>
          <w:szCs w:val="22"/>
        </w:rPr>
        <w:t xml:space="preserve"> </w:t>
      </w:r>
      <w:r w:rsidR="00F53B15" w:rsidRPr="00F53B15">
        <w:rPr>
          <w:rFonts w:asciiTheme="minorHAnsi" w:hAnsiTheme="minorHAnsi" w:cstheme="minorHAnsi"/>
          <w:sz w:val="22"/>
          <w:szCs w:val="22"/>
        </w:rPr>
        <w:t xml:space="preserve">ze </w:t>
      </w:r>
      <w:r w:rsidR="00BA4EC7" w:rsidRPr="00F53B15">
        <w:rPr>
          <w:rFonts w:asciiTheme="minorHAnsi" w:hAnsiTheme="minorHAnsi" w:cstheme="minorHAnsi"/>
          <w:sz w:val="22"/>
          <w:szCs w:val="22"/>
        </w:rPr>
        <w:t xml:space="preserve">zmianą zatwierdzoną </w:t>
      </w:r>
      <w:r>
        <w:rPr>
          <w:rFonts w:asciiTheme="minorHAnsi" w:hAnsiTheme="minorHAnsi" w:cstheme="minorHAnsi"/>
          <w:sz w:val="22"/>
          <w:szCs w:val="22"/>
        </w:rPr>
        <w:t xml:space="preserve">  </w:t>
      </w:r>
    </w:p>
    <w:p w14:paraId="68094E84" w14:textId="77777777" w:rsidR="001769C6" w:rsidRDefault="001769C6" w:rsidP="002138EE">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 xml:space="preserve">               </w:t>
      </w:r>
      <w:r w:rsidR="00F53B15">
        <w:rPr>
          <w:rFonts w:asciiTheme="minorHAnsi" w:hAnsiTheme="minorHAnsi" w:cstheme="minorHAnsi"/>
          <w:sz w:val="22"/>
          <w:szCs w:val="22"/>
        </w:rPr>
        <w:t>u</w:t>
      </w:r>
      <w:r w:rsidR="00BA4EC7" w:rsidRPr="00F53B15">
        <w:rPr>
          <w:rFonts w:asciiTheme="minorHAnsi" w:hAnsiTheme="minorHAnsi" w:cstheme="minorHAnsi"/>
          <w:sz w:val="22"/>
          <w:szCs w:val="22"/>
        </w:rPr>
        <w:t xml:space="preserve">chwałą Nr V/41/2024 Rady Gminy Komorniki z dnia 20 czerwca 2024 r. </w:t>
      </w:r>
      <w:r w:rsidR="00F53B15">
        <w:rPr>
          <w:rFonts w:asciiTheme="minorHAnsi" w:hAnsiTheme="minorHAnsi" w:cstheme="minorHAnsi"/>
          <w:sz w:val="22"/>
          <w:szCs w:val="22"/>
        </w:rPr>
        <w:t xml:space="preserve">oraz </w:t>
      </w:r>
      <w:r w:rsidR="00F53B15" w:rsidRPr="00F53B15">
        <w:rPr>
          <w:rFonts w:asciiTheme="minorHAnsi" w:hAnsiTheme="minorHAnsi" w:cstheme="minorHAnsi"/>
          <w:sz w:val="22"/>
          <w:szCs w:val="22"/>
        </w:rPr>
        <w:t xml:space="preserve">ze zmianą </w:t>
      </w:r>
      <w:r>
        <w:rPr>
          <w:rFonts w:asciiTheme="minorHAnsi" w:hAnsiTheme="minorHAnsi" w:cstheme="minorHAnsi"/>
          <w:sz w:val="22"/>
          <w:szCs w:val="22"/>
        </w:rPr>
        <w:t xml:space="preserve"> </w:t>
      </w:r>
    </w:p>
    <w:p w14:paraId="7C62F2BB" w14:textId="77777777" w:rsidR="001769C6" w:rsidRDefault="001769C6" w:rsidP="002138EE">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 xml:space="preserve">               </w:t>
      </w:r>
      <w:r w:rsidR="00F53B15" w:rsidRPr="00F53B15">
        <w:rPr>
          <w:rFonts w:asciiTheme="minorHAnsi" w:hAnsiTheme="minorHAnsi" w:cstheme="minorHAnsi"/>
          <w:sz w:val="22"/>
          <w:szCs w:val="22"/>
        </w:rPr>
        <w:t xml:space="preserve">zatwierdzoną </w:t>
      </w:r>
      <w:r w:rsidR="00F53B15">
        <w:rPr>
          <w:rFonts w:asciiTheme="minorHAnsi" w:hAnsiTheme="minorHAnsi" w:cstheme="minorHAnsi"/>
          <w:sz w:val="22"/>
          <w:szCs w:val="22"/>
        </w:rPr>
        <w:t>u</w:t>
      </w:r>
      <w:r w:rsidR="00F53B15" w:rsidRPr="00F53B15">
        <w:rPr>
          <w:rFonts w:asciiTheme="minorHAnsi" w:hAnsiTheme="minorHAnsi" w:cstheme="minorHAnsi"/>
          <w:sz w:val="22"/>
          <w:szCs w:val="22"/>
        </w:rPr>
        <w:t>chwałą Nr XII/110/2024 Rady Gminy Komorniki z dnia 28 listopada 2024 r.</w:t>
      </w:r>
      <w:r w:rsidR="00F53B15">
        <w:rPr>
          <w:rFonts w:asciiTheme="minorHAnsi" w:hAnsiTheme="minorHAnsi" w:cstheme="minorHAnsi"/>
          <w:sz w:val="22"/>
          <w:szCs w:val="22"/>
        </w:rPr>
        <w:t>,</w:t>
      </w:r>
      <w:r w:rsidR="00C033C1" w:rsidRPr="00C033C1">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DAF7441" w14:textId="28D32DB9" w:rsidR="00F53B15" w:rsidRDefault="001769C6" w:rsidP="002138EE">
      <w:pPr>
        <w:pStyle w:val="Tekstpodstawowy"/>
        <w:spacing w:line="300" w:lineRule="atLeast"/>
        <w:rPr>
          <w:rFonts w:asciiTheme="minorHAnsi" w:hAnsiTheme="minorHAnsi" w:cstheme="minorHAnsi"/>
          <w:sz w:val="22"/>
          <w:szCs w:val="22"/>
        </w:rPr>
      </w:pPr>
      <w:r>
        <w:rPr>
          <w:rFonts w:asciiTheme="minorHAnsi" w:hAnsiTheme="minorHAnsi" w:cstheme="minorHAnsi"/>
          <w:sz w:val="22"/>
          <w:szCs w:val="22"/>
        </w:rPr>
        <w:t xml:space="preserve">               </w:t>
      </w:r>
      <w:r w:rsidR="00C033C1" w:rsidRPr="00C033C1">
        <w:rPr>
          <w:rFonts w:asciiTheme="minorHAnsi" w:hAnsiTheme="minorHAnsi" w:cstheme="minorHAnsi"/>
          <w:sz w:val="22"/>
          <w:szCs w:val="22"/>
        </w:rPr>
        <w:t>poprzez remonty</w:t>
      </w:r>
      <w:r w:rsidR="00C033C1">
        <w:rPr>
          <w:rFonts w:asciiTheme="minorHAnsi" w:hAnsiTheme="minorHAnsi" w:cstheme="minorHAnsi"/>
          <w:sz w:val="22"/>
          <w:szCs w:val="22"/>
        </w:rPr>
        <w:t xml:space="preserve"> </w:t>
      </w:r>
      <w:r w:rsidR="00C033C1" w:rsidRPr="00C033C1">
        <w:rPr>
          <w:rFonts w:asciiTheme="minorHAnsi" w:hAnsiTheme="minorHAnsi" w:cstheme="minorHAnsi"/>
          <w:sz w:val="22"/>
          <w:szCs w:val="22"/>
        </w:rPr>
        <w:t xml:space="preserve">mieszkań i budynków komunalnych, poprawę ich stanu </w:t>
      </w:r>
      <w:r w:rsidR="00C033C1">
        <w:rPr>
          <w:rFonts w:asciiTheme="minorHAnsi" w:hAnsiTheme="minorHAnsi" w:cstheme="minorHAnsi"/>
          <w:sz w:val="22"/>
          <w:szCs w:val="22"/>
        </w:rPr>
        <w:t xml:space="preserve"> </w:t>
      </w:r>
      <w:r w:rsidR="00C033C1" w:rsidRPr="00C033C1">
        <w:rPr>
          <w:rFonts w:asciiTheme="minorHAnsi" w:hAnsiTheme="minorHAnsi" w:cstheme="minorHAnsi"/>
          <w:sz w:val="22"/>
          <w:szCs w:val="22"/>
        </w:rPr>
        <w:t xml:space="preserve">technicznego i </w:t>
      </w:r>
      <w:r w:rsidR="00F53B15">
        <w:rPr>
          <w:rFonts w:asciiTheme="minorHAnsi" w:hAnsiTheme="minorHAnsi" w:cstheme="minorHAnsi"/>
          <w:sz w:val="22"/>
          <w:szCs w:val="22"/>
        </w:rPr>
        <w:t xml:space="preserve">  </w:t>
      </w:r>
    </w:p>
    <w:p w14:paraId="5BACD045" w14:textId="1F0B9039" w:rsidR="00C033C1" w:rsidRPr="00F53B15" w:rsidRDefault="00F53B15" w:rsidP="001769C6">
      <w:pPr>
        <w:pStyle w:val="Tekstpodstawowy"/>
        <w:spacing w:line="300" w:lineRule="atLeast"/>
        <w:ind w:left="709"/>
        <w:rPr>
          <w:rFonts w:asciiTheme="minorHAnsi" w:hAnsiTheme="minorHAnsi" w:cstheme="minorHAnsi"/>
          <w:sz w:val="22"/>
          <w:szCs w:val="22"/>
          <w:highlight w:val="yellow"/>
        </w:rPr>
      </w:pPr>
      <w:r>
        <w:rPr>
          <w:rFonts w:asciiTheme="minorHAnsi" w:hAnsiTheme="minorHAnsi" w:cstheme="minorHAnsi"/>
          <w:sz w:val="22"/>
          <w:szCs w:val="22"/>
        </w:rPr>
        <w:lastRenderedPageBreak/>
        <w:t xml:space="preserve"> </w:t>
      </w:r>
      <w:r w:rsidR="00C033C1" w:rsidRPr="00C033C1">
        <w:rPr>
          <w:rFonts w:asciiTheme="minorHAnsi" w:hAnsiTheme="minorHAnsi" w:cstheme="minorHAnsi"/>
          <w:sz w:val="22"/>
          <w:szCs w:val="22"/>
        </w:rPr>
        <w:t>efektywności energetycznej</w:t>
      </w:r>
      <w:r w:rsidR="00C033C1">
        <w:rPr>
          <w:rFonts w:asciiTheme="minorHAnsi" w:hAnsiTheme="minorHAnsi" w:cstheme="minorHAnsi"/>
          <w:sz w:val="22"/>
          <w:szCs w:val="22"/>
        </w:rPr>
        <w:t>,</w:t>
      </w:r>
    </w:p>
    <w:p w14:paraId="798E6ED7" w14:textId="77777777" w:rsidR="00F53B15" w:rsidRDefault="00F53B15" w:rsidP="00F53B15">
      <w:pPr>
        <w:pStyle w:val="Tekstpodstawowy"/>
        <w:spacing w:line="300" w:lineRule="atLeast"/>
        <w:ind w:left="284"/>
        <w:rPr>
          <w:rFonts w:asciiTheme="minorHAnsi" w:hAnsiTheme="minorHAnsi" w:cstheme="minorHAnsi"/>
          <w:sz w:val="22"/>
          <w:szCs w:val="22"/>
        </w:rPr>
      </w:pPr>
      <w:r>
        <w:rPr>
          <w:rFonts w:asciiTheme="minorHAnsi" w:hAnsiTheme="minorHAnsi" w:cstheme="minorHAnsi"/>
          <w:sz w:val="22"/>
          <w:szCs w:val="22"/>
        </w:rPr>
        <w:t>11)   o</w:t>
      </w:r>
      <w:r w:rsidR="00603BEA">
        <w:rPr>
          <w:rFonts w:asciiTheme="minorHAnsi" w:hAnsiTheme="minorHAnsi" w:cstheme="minorHAnsi"/>
          <w:sz w:val="22"/>
          <w:szCs w:val="22"/>
        </w:rPr>
        <w:t xml:space="preserve">próżnianie lokali w związku ze zmianą przeznaczenia lokalu lub budynku lub w sytuacji, gdy </w:t>
      </w:r>
      <w:r>
        <w:rPr>
          <w:rFonts w:asciiTheme="minorHAnsi" w:hAnsiTheme="minorHAnsi" w:cstheme="minorHAnsi"/>
          <w:sz w:val="22"/>
          <w:szCs w:val="22"/>
        </w:rPr>
        <w:t xml:space="preserve">   </w:t>
      </w:r>
    </w:p>
    <w:p w14:paraId="52799F65" w14:textId="3279C737" w:rsidR="00910CC1" w:rsidRDefault="00F53B15" w:rsidP="00F53B15">
      <w:pPr>
        <w:pStyle w:val="Tekstpodstawowy"/>
        <w:spacing w:line="300" w:lineRule="atLeast"/>
        <w:ind w:left="284"/>
        <w:rPr>
          <w:rFonts w:asciiTheme="minorHAnsi" w:hAnsiTheme="minorHAnsi" w:cstheme="minorHAnsi"/>
          <w:sz w:val="22"/>
          <w:szCs w:val="22"/>
        </w:rPr>
      </w:pPr>
      <w:r>
        <w:rPr>
          <w:rFonts w:asciiTheme="minorHAnsi" w:hAnsiTheme="minorHAnsi" w:cstheme="minorHAnsi"/>
          <w:sz w:val="22"/>
          <w:szCs w:val="22"/>
        </w:rPr>
        <w:t xml:space="preserve">         </w:t>
      </w:r>
      <w:r w:rsidR="00603BEA">
        <w:rPr>
          <w:rFonts w:asciiTheme="minorHAnsi" w:hAnsiTheme="minorHAnsi" w:cstheme="minorHAnsi"/>
          <w:sz w:val="22"/>
          <w:szCs w:val="22"/>
        </w:rPr>
        <w:t xml:space="preserve">dalsza ich eksploatacja lub remont nie są opłacalne i gmina kieruje je do zbycia lub wyburzenia. </w:t>
      </w:r>
    </w:p>
    <w:p w14:paraId="731D1A4F" w14:textId="77777777" w:rsidR="00BE7302" w:rsidRPr="004524DF" w:rsidRDefault="00BE7302" w:rsidP="004524DF">
      <w:pPr>
        <w:jc w:val="both"/>
        <w:rPr>
          <w:rFonts w:cstheme="minorHAnsi"/>
        </w:rPr>
      </w:pPr>
    </w:p>
    <w:sectPr w:rsidR="00BE7302" w:rsidRPr="004524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12E6" w14:textId="77777777" w:rsidR="00501615" w:rsidRDefault="00501615" w:rsidP="00D24BFC">
      <w:pPr>
        <w:spacing w:after="0" w:line="240" w:lineRule="auto"/>
      </w:pPr>
      <w:r>
        <w:separator/>
      </w:r>
    </w:p>
  </w:endnote>
  <w:endnote w:type="continuationSeparator" w:id="0">
    <w:p w14:paraId="5E8739D9" w14:textId="77777777" w:rsidR="00501615" w:rsidRDefault="00501615" w:rsidP="00D2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579225"/>
      <w:docPartObj>
        <w:docPartGallery w:val="Page Numbers (Bottom of Page)"/>
        <w:docPartUnique/>
      </w:docPartObj>
    </w:sdtPr>
    <w:sdtContent>
      <w:p w14:paraId="2E9A310E" w14:textId="6F218DCE" w:rsidR="00D24BFC" w:rsidRDefault="00D24BFC">
        <w:pPr>
          <w:pStyle w:val="Stopka"/>
          <w:jc w:val="right"/>
        </w:pPr>
        <w:r>
          <w:fldChar w:fldCharType="begin"/>
        </w:r>
        <w:r>
          <w:instrText>PAGE   \* MERGEFORMAT</w:instrText>
        </w:r>
        <w:r>
          <w:fldChar w:fldCharType="separate"/>
        </w:r>
        <w:r>
          <w:t>2</w:t>
        </w:r>
        <w:r>
          <w:fldChar w:fldCharType="end"/>
        </w:r>
      </w:p>
    </w:sdtContent>
  </w:sdt>
  <w:p w14:paraId="648A1F6E" w14:textId="77777777" w:rsidR="00D24BFC" w:rsidRDefault="00D24B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F800" w14:textId="77777777" w:rsidR="00501615" w:rsidRDefault="00501615" w:rsidP="00D24BFC">
      <w:pPr>
        <w:spacing w:after="0" w:line="240" w:lineRule="auto"/>
      </w:pPr>
      <w:r>
        <w:separator/>
      </w:r>
    </w:p>
  </w:footnote>
  <w:footnote w:type="continuationSeparator" w:id="0">
    <w:p w14:paraId="1A78E8AF" w14:textId="77777777" w:rsidR="00501615" w:rsidRDefault="00501615" w:rsidP="00D24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D2A"/>
    <w:multiLevelType w:val="hybridMultilevel"/>
    <w:tmpl w:val="680C2452"/>
    <w:lvl w:ilvl="0" w:tplc="AE3006E0">
      <w:start w:val="2"/>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410081B"/>
    <w:multiLevelType w:val="multilevel"/>
    <w:tmpl w:val="743ED750"/>
    <w:lvl w:ilvl="0">
      <w:start w:val="2"/>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
      <w:lvlJc w:val="left"/>
      <w:pPr>
        <w:ind w:left="851" w:hanging="284"/>
      </w:pPr>
      <w:rPr>
        <w:rFonts w:hint="default"/>
      </w:rPr>
    </w:lvl>
    <w:lvl w:ilvl="3">
      <w:start w:val="1"/>
      <w:numFmt w:val="lowerLetter"/>
      <w:suff w:val="nothing"/>
      <w:lvlText w:val="%4) "/>
      <w:lvlJc w:val="left"/>
      <w:pPr>
        <w:ind w:left="1021" w:hanging="227"/>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 w15:restartNumberingAfterBreak="0">
    <w:nsid w:val="043E5C00"/>
    <w:multiLevelType w:val="multilevel"/>
    <w:tmpl w:val="4044D8A8"/>
    <w:lvl w:ilvl="0">
      <w:start w:val="2"/>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
      <w:lvlJc w:val="left"/>
      <w:pPr>
        <w:ind w:left="851" w:hanging="284"/>
      </w:pPr>
      <w:rPr>
        <w:rFonts w:hint="default"/>
      </w:rPr>
    </w:lvl>
    <w:lvl w:ilvl="3">
      <w:start w:val="1"/>
      <w:numFmt w:val="lowerLetter"/>
      <w:suff w:val="nothing"/>
      <w:lvlText w:val="%4) "/>
      <w:lvlJc w:val="left"/>
      <w:pPr>
        <w:ind w:left="1021" w:hanging="227"/>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 w15:restartNumberingAfterBreak="0">
    <w:nsid w:val="05BC2FAD"/>
    <w:multiLevelType w:val="multilevel"/>
    <w:tmpl w:val="BB1EE5E6"/>
    <w:lvl w:ilvl="0">
      <w:start w:val="5"/>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w:lvlJc w:val="left"/>
      <w:pPr>
        <w:ind w:left="851" w:hanging="284"/>
      </w:pPr>
      <w:rPr>
        <w:rFonts w:asciiTheme="minorHAnsi" w:eastAsia="Times New Roman" w:hAnsiTheme="minorHAnsi" w:cstheme="minorHAnsi"/>
      </w:rPr>
    </w:lvl>
    <w:lvl w:ilvl="3">
      <w:start w:val="1"/>
      <w:numFmt w:val="decimal"/>
      <w:suff w:val="nothing"/>
      <w:lvlText w:val="%4)"/>
      <w:lvlJc w:val="left"/>
      <w:pPr>
        <w:ind w:left="1021" w:hanging="227"/>
      </w:pPr>
      <w:rPr>
        <w:rFonts w:asciiTheme="minorHAnsi" w:eastAsiaTheme="minorHAnsi" w:hAnsiTheme="minorHAnsi" w:cstheme="minorHAnsi"/>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 w15:restartNumberingAfterBreak="0">
    <w:nsid w:val="11DC6AB7"/>
    <w:multiLevelType w:val="hybridMultilevel"/>
    <w:tmpl w:val="85A0B688"/>
    <w:lvl w:ilvl="0" w:tplc="9184D8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961F05"/>
    <w:multiLevelType w:val="multilevel"/>
    <w:tmpl w:val="D5F49798"/>
    <w:lvl w:ilvl="0">
      <w:start w:val="8"/>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
      <w:lvlJc w:val="left"/>
      <w:pPr>
        <w:ind w:left="851" w:hanging="284"/>
      </w:pPr>
      <w:rPr>
        <w:rFonts w:hint="default"/>
      </w:rPr>
    </w:lvl>
    <w:lvl w:ilvl="3">
      <w:start w:val="1"/>
      <w:numFmt w:val="lowerLetter"/>
      <w:suff w:val="nothing"/>
      <w:lvlText w:val="%4) "/>
      <w:lvlJc w:val="left"/>
      <w:pPr>
        <w:ind w:left="1021" w:hanging="227"/>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 w15:restartNumberingAfterBreak="0">
    <w:nsid w:val="1D3825DB"/>
    <w:multiLevelType w:val="hybridMultilevel"/>
    <w:tmpl w:val="745C7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2E3D43"/>
    <w:multiLevelType w:val="multilevel"/>
    <w:tmpl w:val="BB1EE5E6"/>
    <w:lvl w:ilvl="0">
      <w:start w:val="5"/>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w:lvlJc w:val="left"/>
      <w:pPr>
        <w:ind w:left="851" w:hanging="284"/>
      </w:pPr>
      <w:rPr>
        <w:rFonts w:asciiTheme="minorHAnsi" w:eastAsia="Times New Roman" w:hAnsiTheme="minorHAnsi" w:cstheme="minorHAnsi"/>
      </w:rPr>
    </w:lvl>
    <w:lvl w:ilvl="3">
      <w:start w:val="1"/>
      <w:numFmt w:val="decimal"/>
      <w:suff w:val="nothing"/>
      <w:lvlText w:val="%4)"/>
      <w:lvlJc w:val="left"/>
      <w:pPr>
        <w:ind w:left="1021" w:hanging="227"/>
      </w:pPr>
      <w:rPr>
        <w:rFonts w:asciiTheme="minorHAnsi" w:eastAsiaTheme="minorHAnsi" w:hAnsiTheme="minorHAnsi" w:cstheme="minorHAnsi"/>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 w15:restartNumberingAfterBreak="0">
    <w:nsid w:val="26314C98"/>
    <w:multiLevelType w:val="hybridMultilevel"/>
    <w:tmpl w:val="C51A2B8A"/>
    <w:lvl w:ilvl="0" w:tplc="D960BC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B202E1"/>
    <w:multiLevelType w:val="hybridMultilevel"/>
    <w:tmpl w:val="6CFC97D0"/>
    <w:lvl w:ilvl="0" w:tplc="9D9CF062">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C77BDF"/>
    <w:multiLevelType w:val="hybridMultilevel"/>
    <w:tmpl w:val="39A27AAC"/>
    <w:lvl w:ilvl="0" w:tplc="AEAA29EA">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242E86"/>
    <w:multiLevelType w:val="hybridMultilevel"/>
    <w:tmpl w:val="240A15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750CC5"/>
    <w:multiLevelType w:val="hybridMultilevel"/>
    <w:tmpl w:val="240A15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A56081"/>
    <w:multiLevelType w:val="multilevel"/>
    <w:tmpl w:val="D5F49798"/>
    <w:lvl w:ilvl="0">
      <w:start w:val="8"/>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
      <w:lvlJc w:val="left"/>
      <w:pPr>
        <w:ind w:left="851" w:hanging="284"/>
      </w:pPr>
      <w:rPr>
        <w:rFonts w:hint="default"/>
      </w:rPr>
    </w:lvl>
    <w:lvl w:ilvl="3">
      <w:start w:val="1"/>
      <w:numFmt w:val="lowerLetter"/>
      <w:suff w:val="nothing"/>
      <w:lvlText w:val="%4) "/>
      <w:lvlJc w:val="left"/>
      <w:pPr>
        <w:ind w:left="1021" w:hanging="227"/>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4" w15:restartNumberingAfterBreak="0">
    <w:nsid w:val="46B41B7A"/>
    <w:multiLevelType w:val="hybridMultilevel"/>
    <w:tmpl w:val="EEF48F42"/>
    <w:lvl w:ilvl="0" w:tplc="3B382ED4">
      <w:start w:val="2"/>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6C7D3E"/>
    <w:multiLevelType w:val="multilevel"/>
    <w:tmpl w:val="BB1EE5E6"/>
    <w:lvl w:ilvl="0">
      <w:start w:val="5"/>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w:lvlJc w:val="left"/>
      <w:pPr>
        <w:ind w:left="851" w:hanging="284"/>
      </w:pPr>
      <w:rPr>
        <w:rFonts w:asciiTheme="minorHAnsi" w:eastAsia="Times New Roman" w:hAnsiTheme="minorHAnsi" w:cstheme="minorHAnsi"/>
      </w:rPr>
    </w:lvl>
    <w:lvl w:ilvl="3">
      <w:start w:val="1"/>
      <w:numFmt w:val="decimal"/>
      <w:suff w:val="nothing"/>
      <w:lvlText w:val="%4)"/>
      <w:lvlJc w:val="left"/>
      <w:pPr>
        <w:ind w:left="1021" w:hanging="227"/>
      </w:pPr>
      <w:rPr>
        <w:rFonts w:asciiTheme="minorHAnsi" w:eastAsiaTheme="minorHAnsi" w:hAnsiTheme="minorHAnsi" w:cstheme="minorHAnsi"/>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6" w15:restartNumberingAfterBreak="0">
    <w:nsid w:val="52D758CF"/>
    <w:multiLevelType w:val="hybridMultilevel"/>
    <w:tmpl w:val="04C4347E"/>
    <w:lvl w:ilvl="0" w:tplc="2AF0A8FA">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DB06A2"/>
    <w:multiLevelType w:val="hybridMultilevel"/>
    <w:tmpl w:val="AC3023E0"/>
    <w:lvl w:ilvl="0" w:tplc="301E40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68A0121"/>
    <w:multiLevelType w:val="hybridMultilevel"/>
    <w:tmpl w:val="B67EA1FC"/>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6B04219"/>
    <w:multiLevelType w:val="hybridMultilevel"/>
    <w:tmpl w:val="9ADA22C6"/>
    <w:lvl w:ilvl="0" w:tplc="FF6681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B975631"/>
    <w:multiLevelType w:val="multilevel"/>
    <w:tmpl w:val="6EE0ED14"/>
    <w:lvl w:ilvl="0">
      <w:start w:val="7"/>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
      <w:lvlJc w:val="left"/>
      <w:pPr>
        <w:ind w:left="851" w:hanging="284"/>
      </w:pPr>
      <w:rPr>
        <w:rFonts w:hint="default"/>
      </w:rPr>
    </w:lvl>
    <w:lvl w:ilvl="3">
      <w:start w:val="1"/>
      <w:numFmt w:val="lowerLetter"/>
      <w:suff w:val="nothing"/>
      <w:lvlText w:val="%4) "/>
      <w:lvlJc w:val="left"/>
      <w:pPr>
        <w:ind w:left="1021" w:hanging="227"/>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1" w15:restartNumberingAfterBreak="0">
    <w:nsid w:val="741D4FD5"/>
    <w:multiLevelType w:val="multilevel"/>
    <w:tmpl w:val="D5F49798"/>
    <w:lvl w:ilvl="0">
      <w:start w:val="8"/>
      <w:numFmt w:val="decimal"/>
      <w:suff w:val="nothing"/>
      <w:lvlText w:val="§%1.1. "/>
      <w:lvlJc w:val="left"/>
      <w:pPr>
        <w:ind w:left="340" w:hanging="340"/>
      </w:pPr>
      <w:rPr>
        <w:rFonts w:hint="default"/>
      </w:rPr>
    </w:lvl>
    <w:lvl w:ilvl="1">
      <w:start w:val="2"/>
      <w:numFmt w:val="decimal"/>
      <w:suff w:val="nothing"/>
      <w:lvlText w:val="%2. "/>
      <w:lvlJc w:val="left"/>
      <w:pPr>
        <w:ind w:left="567" w:hanging="227"/>
      </w:pPr>
      <w:rPr>
        <w:rFonts w:hint="default"/>
      </w:rPr>
    </w:lvl>
    <w:lvl w:ilvl="2">
      <w:start w:val="1"/>
      <w:numFmt w:val="decimal"/>
      <w:suff w:val="nothing"/>
      <w:lvlText w:val="%3) "/>
      <w:lvlJc w:val="left"/>
      <w:pPr>
        <w:ind w:left="851" w:hanging="284"/>
      </w:pPr>
      <w:rPr>
        <w:rFonts w:hint="default"/>
      </w:rPr>
    </w:lvl>
    <w:lvl w:ilvl="3">
      <w:start w:val="1"/>
      <w:numFmt w:val="lowerLetter"/>
      <w:suff w:val="nothing"/>
      <w:lvlText w:val="%4) "/>
      <w:lvlJc w:val="left"/>
      <w:pPr>
        <w:ind w:left="1021" w:hanging="227"/>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num w:numId="1" w16cid:durableId="463230978">
    <w:abstractNumId w:val="10"/>
  </w:num>
  <w:num w:numId="2" w16cid:durableId="469906404">
    <w:abstractNumId w:val="8"/>
  </w:num>
  <w:num w:numId="3" w16cid:durableId="1176118965">
    <w:abstractNumId w:val="16"/>
  </w:num>
  <w:num w:numId="4" w16cid:durableId="280961997">
    <w:abstractNumId w:val="6"/>
  </w:num>
  <w:num w:numId="5" w16cid:durableId="1589315904">
    <w:abstractNumId w:val="17"/>
  </w:num>
  <w:num w:numId="6" w16cid:durableId="672873299">
    <w:abstractNumId w:val="9"/>
  </w:num>
  <w:num w:numId="7" w16cid:durableId="291373611">
    <w:abstractNumId w:val="2"/>
  </w:num>
  <w:num w:numId="8" w16cid:durableId="425807530">
    <w:abstractNumId w:val="14"/>
  </w:num>
  <w:num w:numId="9" w16cid:durableId="688414734">
    <w:abstractNumId w:val="15"/>
  </w:num>
  <w:num w:numId="10" w16cid:durableId="308826621">
    <w:abstractNumId w:val="4"/>
  </w:num>
  <w:num w:numId="11" w16cid:durableId="509418002">
    <w:abstractNumId w:val="1"/>
  </w:num>
  <w:num w:numId="12" w16cid:durableId="909734170">
    <w:abstractNumId w:val="20"/>
  </w:num>
  <w:num w:numId="13" w16cid:durableId="1641618414">
    <w:abstractNumId w:val="0"/>
  </w:num>
  <w:num w:numId="14" w16cid:durableId="1267033965">
    <w:abstractNumId w:val="19"/>
  </w:num>
  <w:num w:numId="15" w16cid:durableId="332030869">
    <w:abstractNumId w:val="12"/>
  </w:num>
  <w:num w:numId="16" w16cid:durableId="223491004">
    <w:abstractNumId w:val="5"/>
  </w:num>
  <w:num w:numId="17" w16cid:durableId="2027553612">
    <w:abstractNumId w:val="13"/>
  </w:num>
  <w:num w:numId="18" w16cid:durableId="1443720230">
    <w:abstractNumId w:val="21"/>
  </w:num>
  <w:num w:numId="19" w16cid:durableId="1952124565">
    <w:abstractNumId w:val="11"/>
  </w:num>
  <w:num w:numId="20" w16cid:durableId="1161770633">
    <w:abstractNumId w:val="18"/>
  </w:num>
  <w:num w:numId="21" w16cid:durableId="977297026">
    <w:abstractNumId w:val="3"/>
  </w:num>
  <w:num w:numId="22" w16cid:durableId="1906913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2D"/>
    <w:rsid w:val="0000459C"/>
    <w:rsid w:val="00043E80"/>
    <w:rsid w:val="00052590"/>
    <w:rsid w:val="0006685E"/>
    <w:rsid w:val="000B3819"/>
    <w:rsid w:val="000C2EB5"/>
    <w:rsid w:val="000D2CCE"/>
    <w:rsid w:val="000E1656"/>
    <w:rsid w:val="000F6440"/>
    <w:rsid w:val="00100EEB"/>
    <w:rsid w:val="00111E30"/>
    <w:rsid w:val="001167FD"/>
    <w:rsid w:val="00117ACE"/>
    <w:rsid w:val="0012769C"/>
    <w:rsid w:val="001358F2"/>
    <w:rsid w:val="00144113"/>
    <w:rsid w:val="00146596"/>
    <w:rsid w:val="001568C2"/>
    <w:rsid w:val="001769C6"/>
    <w:rsid w:val="00176E1A"/>
    <w:rsid w:val="00184E17"/>
    <w:rsid w:val="00195C17"/>
    <w:rsid w:val="001B03EF"/>
    <w:rsid w:val="001C4488"/>
    <w:rsid w:val="001D41FD"/>
    <w:rsid w:val="001D4ADD"/>
    <w:rsid w:val="00213199"/>
    <w:rsid w:val="002138EE"/>
    <w:rsid w:val="00223D84"/>
    <w:rsid w:val="0026016B"/>
    <w:rsid w:val="00260FB7"/>
    <w:rsid w:val="00284EAD"/>
    <w:rsid w:val="002E3E51"/>
    <w:rsid w:val="002E5DD1"/>
    <w:rsid w:val="002F0B25"/>
    <w:rsid w:val="002F4C9A"/>
    <w:rsid w:val="0031507A"/>
    <w:rsid w:val="00323A34"/>
    <w:rsid w:val="003339A9"/>
    <w:rsid w:val="003452F8"/>
    <w:rsid w:val="00350A41"/>
    <w:rsid w:val="00372D2F"/>
    <w:rsid w:val="00380301"/>
    <w:rsid w:val="003C1DEC"/>
    <w:rsid w:val="003D1F77"/>
    <w:rsid w:val="0041614F"/>
    <w:rsid w:val="0042126A"/>
    <w:rsid w:val="00451ED8"/>
    <w:rsid w:val="004524DF"/>
    <w:rsid w:val="0046042A"/>
    <w:rsid w:val="004720E3"/>
    <w:rsid w:val="004841DF"/>
    <w:rsid w:val="00487056"/>
    <w:rsid w:val="00491E7A"/>
    <w:rsid w:val="004C41D4"/>
    <w:rsid w:val="004D7EC7"/>
    <w:rsid w:val="004F0A87"/>
    <w:rsid w:val="00501615"/>
    <w:rsid w:val="00504F65"/>
    <w:rsid w:val="005267A5"/>
    <w:rsid w:val="00536E10"/>
    <w:rsid w:val="00542B1E"/>
    <w:rsid w:val="00567BBD"/>
    <w:rsid w:val="00582F6F"/>
    <w:rsid w:val="005B2581"/>
    <w:rsid w:val="005F3A89"/>
    <w:rsid w:val="00603BEA"/>
    <w:rsid w:val="006342D0"/>
    <w:rsid w:val="006471C8"/>
    <w:rsid w:val="0069118D"/>
    <w:rsid w:val="006A5AEB"/>
    <w:rsid w:val="006C7C30"/>
    <w:rsid w:val="006D7972"/>
    <w:rsid w:val="006E26E7"/>
    <w:rsid w:val="006F179F"/>
    <w:rsid w:val="006F4919"/>
    <w:rsid w:val="007171D4"/>
    <w:rsid w:val="0072542F"/>
    <w:rsid w:val="00746F26"/>
    <w:rsid w:val="00747682"/>
    <w:rsid w:val="007561E1"/>
    <w:rsid w:val="007819A1"/>
    <w:rsid w:val="00791852"/>
    <w:rsid w:val="007952D0"/>
    <w:rsid w:val="007D6B86"/>
    <w:rsid w:val="007E702F"/>
    <w:rsid w:val="00816BB6"/>
    <w:rsid w:val="008218C1"/>
    <w:rsid w:val="00821F75"/>
    <w:rsid w:val="00856F91"/>
    <w:rsid w:val="00872D62"/>
    <w:rsid w:val="008A46ED"/>
    <w:rsid w:val="008A7B1E"/>
    <w:rsid w:val="008B623A"/>
    <w:rsid w:val="008B6862"/>
    <w:rsid w:val="008C5D2C"/>
    <w:rsid w:val="008D75B6"/>
    <w:rsid w:val="008E6DFC"/>
    <w:rsid w:val="008F779F"/>
    <w:rsid w:val="00910CC1"/>
    <w:rsid w:val="00922A2D"/>
    <w:rsid w:val="00924833"/>
    <w:rsid w:val="00936B77"/>
    <w:rsid w:val="0094000A"/>
    <w:rsid w:val="009934B1"/>
    <w:rsid w:val="00995B24"/>
    <w:rsid w:val="00997F49"/>
    <w:rsid w:val="009B6A6A"/>
    <w:rsid w:val="009F12E6"/>
    <w:rsid w:val="00A15937"/>
    <w:rsid w:val="00A44F7E"/>
    <w:rsid w:val="00A5552A"/>
    <w:rsid w:val="00A6192D"/>
    <w:rsid w:val="00AA3892"/>
    <w:rsid w:val="00AB3CDE"/>
    <w:rsid w:val="00AD2E1C"/>
    <w:rsid w:val="00AD5357"/>
    <w:rsid w:val="00AE288E"/>
    <w:rsid w:val="00AE7C57"/>
    <w:rsid w:val="00B11EC0"/>
    <w:rsid w:val="00B17AFD"/>
    <w:rsid w:val="00B4074C"/>
    <w:rsid w:val="00B46812"/>
    <w:rsid w:val="00B57905"/>
    <w:rsid w:val="00B71306"/>
    <w:rsid w:val="00B74F6D"/>
    <w:rsid w:val="00B900C4"/>
    <w:rsid w:val="00B947EF"/>
    <w:rsid w:val="00BA4EC7"/>
    <w:rsid w:val="00BE7302"/>
    <w:rsid w:val="00C033C1"/>
    <w:rsid w:val="00C0551F"/>
    <w:rsid w:val="00C21BF1"/>
    <w:rsid w:val="00C5193E"/>
    <w:rsid w:val="00C86FE3"/>
    <w:rsid w:val="00C9734D"/>
    <w:rsid w:val="00CB237D"/>
    <w:rsid w:val="00CC207F"/>
    <w:rsid w:val="00D05F4A"/>
    <w:rsid w:val="00D24BFC"/>
    <w:rsid w:val="00D30139"/>
    <w:rsid w:val="00D40200"/>
    <w:rsid w:val="00D410E2"/>
    <w:rsid w:val="00D53761"/>
    <w:rsid w:val="00D54D1E"/>
    <w:rsid w:val="00D6115B"/>
    <w:rsid w:val="00D612AF"/>
    <w:rsid w:val="00D749DC"/>
    <w:rsid w:val="00DC5F56"/>
    <w:rsid w:val="00E142E9"/>
    <w:rsid w:val="00E15200"/>
    <w:rsid w:val="00E20E4D"/>
    <w:rsid w:val="00E27B75"/>
    <w:rsid w:val="00E87958"/>
    <w:rsid w:val="00E96AF2"/>
    <w:rsid w:val="00E97695"/>
    <w:rsid w:val="00EC1E4B"/>
    <w:rsid w:val="00ED39D4"/>
    <w:rsid w:val="00ED639D"/>
    <w:rsid w:val="00EE199E"/>
    <w:rsid w:val="00EF4357"/>
    <w:rsid w:val="00EF73DB"/>
    <w:rsid w:val="00F26E14"/>
    <w:rsid w:val="00F32B80"/>
    <w:rsid w:val="00F45C4D"/>
    <w:rsid w:val="00F53B15"/>
    <w:rsid w:val="00FA2435"/>
    <w:rsid w:val="00FD1F08"/>
    <w:rsid w:val="00FD47E4"/>
    <w:rsid w:val="00FD7F8C"/>
    <w:rsid w:val="00FE641B"/>
    <w:rsid w:val="00FF5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FC2F"/>
  <w15:chartTrackingRefBased/>
  <w15:docId w15:val="{987C2630-3946-4B9B-9426-89F0B9EC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6E10"/>
    <w:pPr>
      <w:ind w:left="720"/>
      <w:contextualSpacing/>
    </w:pPr>
  </w:style>
  <w:style w:type="table" w:styleId="Tabela-Siatka">
    <w:name w:val="Table Grid"/>
    <w:basedOn w:val="Standardowy"/>
    <w:uiPriority w:val="39"/>
    <w:rsid w:val="00E1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561E1"/>
    <w:pPr>
      <w:spacing w:after="0" w:line="240" w:lineRule="auto"/>
      <w:jc w:val="both"/>
    </w:pPr>
    <w:rPr>
      <w:rFonts w:ascii="Times New Roman" w:eastAsia="Times New Roman" w:hAnsi="Times New Roman" w:cs="Times New Roman"/>
      <w:kern w:val="0"/>
      <w:sz w:val="26"/>
      <w:szCs w:val="20"/>
      <w:lang w:eastAsia="pl-PL"/>
      <w14:ligatures w14:val="none"/>
    </w:rPr>
  </w:style>
  <w:style w:type="character" w:customStyle="1" w:styleId="TekstpodstawowyZnak">
    <w:name w:val="Tekst podstawowy Znak"/>
    <w:basedOn w:val="Domylnaczcionkaakapitu"/>
    <w:link w:val="Tekstpodstawowy"/>
    <w:rsid w:val="007561E1"/>
    <w:rPr>
      <w:rFonts w:ascii="Times New Roman" w:eastAsia="Times New Roman" w:hAnsi="Times New Roman" w:cs="Times New Roman"/>
      <w:kern w:val="0"/>
      <w:sz w:val="26"/>
      <w:szCs w:val="20"/>
      <w:lang w:eastAsia="pl-PL"/>
      <w14:ligatures w14:val="none"/>
    </w:rPr>
  </w:style>
  <w:style w:type="paragraph" w:styleId="Nagwek">
    <w:name w:val="header"/>
    <w:basedOn w:val="Normalny"/>
    <w:link w:val="NagwekZnak"/>
    <w:uiPriority w:val="99"/>
    <w:unhideWhenUsed/>
    <w:rsid w:val="00D24B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4BFC"/>
  </w:style>
  <w:style w:type="paragraph" w:styleId="Stopka">
    <w:name w:val="footer"/>
    <w:basedOn w:val="Normalny"/>
    <w:link w:val="StopkaZnak"/>
    <w:uiPriority w:val="99"/>
    <w:unhideWhenUsed/>
    <w:rsid w:val="00D24B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BFC"/>
  </w:style>
  <w:style w:type="paragraph" w:styleId="Poprawka">
    <w:name w:val="Revision"/>
    <w:hidden/>
    <w:uiPriority w:val="99"/>
    <w:semiHidden/>
    <w:rsid w:val="00997F49"/>
    <w:pPr>
      <w:spacing w:after="0" w:line="240" w:lineRule="auto"/>
    </w:pPr>
  </w:style>
  <w:style w:type="character" w:styleId="Odwoaniedokomentarza">
    <w:name w:val="annotation reference"/>
    <w:basedOn w:val="Domylnaczcionkaakapitu"/>
    <w:uiPriority w:val="99"/>
    <w:semiHidden/>
    <w:unhideWhenUsed/>
    <w:rsid w:val="00997F49"/>
    <w:rPr>
      <w:sz w:val="16"/>
      <w:szCs w:val="16"/>
    </w:rPr>
  </w:style>
  <w:style w:type="paragraph" w:styleId="Tekstkomentarza">
    <w:name w:val="annotation text"/>
    <w:basedOn w:val="Normalny"/>
    <w:link w:val="TekstkomentarzaZnak"/>
    <w:uiPriority w:val="99"/>
    <w:semiHidden/>
    <w:unhideWhenUsed/>
    <w:rsid w:val="00997F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7F49"/>
    <w:rPr>
      <w:sz w:val="20"/>
      <w:szCs w:val="20"/>
    </w:rPr>
  </w:style>
  <w:style w:type="paragraph" w:styleId="Tematkomentarza">
    <w:name w:val="annotation subject"/>
    <w:basedOn w:val="Tekstkomentarza"/>
    <w:next w:val="Tekstkomentarza"/>
    <w:link w:val="TematkomentarzaZnak"/>
    <w:uiPriority w:val="99"/>
    <w:semiHidden/>
    <w:unhideWhenUsed/>
    <w:rsid w:val="00997F49"/>
    <w:rPr>
      <w:b/>
      <w:bCs/>
    </w:rPr>
  </w:style>
  <w:style w:type="character" w:customStyle="1" w:styleId="TematkomentarzaZnak">
    <w:name w:val="Temat komentarza Znak"/>
    <w:basedOn w:val="TekstkomentarzaZnak"/>
    <w:link w:val="Tematkomentarza"/>
    <w:uiPriority w:val="99"/>
    <w:semiHidden/>
    <w:rsid w:val="00997F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96655">
      <w:bodyDiv w:val="1"/>
      <w:marLeft w:val="0"/>
      <w:marRight w:val="0"/>
      <w:marTop w:val="0"/>
      <w:marBottom w:val="0"/>
      <w:divBdr>
        <w:top w:val="none" w:sz="0" w:space="0" w:color="auto"/>
        <w:left w:val="none" w:sz="0" w:space="0" w:color="auto"/>
        <w:bottom w:val="none" w:sz="0" w:space="0" w:color="auto"/>
        <w:right w:val="none" w:sz="0" w:space="0" w:color="auto"/>
      </w:divBdr>
    </w:div>
    <w:div w:id="817723392">
      <w:bodyDiv w:val="1"/>
      <w:marLeft w:val="0"/>
      <w:marRight w:val="0"/>
      <w:marTop w:val="0"/>
      <w:marBottom w:val="0"/>
      <w:divBdr>
        <w:top w:val="none" w:sz="0" w:space="0" w:color="auto"/>
        <w:left w:val="none" w:sz="0" w:space="0" w:color="auto"/>
        <w:bottom w:val="none" w:sz="0" w:space="0" w:color="auto"/>
        <w:right w:val="none" w:sz="0" w:space="0" w:color="auto"/>
      </w:divBdr>
    </w:div>
    <w:div w:id="1154490373">
      <w:bodyDiv w:val="1"/>
      <w:marLeft w:val="0"/>
      <w:marRight w:val="0"/>
      <w:marTop w:val="0"/>
      <w:marBottom w:val="0"/>
      <w:divBdr>
        <w:top w:val="none" w:sz="0" w:space="0" w:color="auto"/>
        <w:left w:val="none" w:sz="0" w:space="0" w:color="auto"/>
        <w:bottom w:val="none" w:sz="0" w:space="0" w:color="auto"/>
        <w:right w:val="none" w:sz="0" w:space="0" w:color="auto"/>
      </w:divBdr>
    </w:div>
    <w:div w:id="14594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64F4-3AC7-41A2-93BB-C399C50D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3184</Words>
  <Characters>19104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Borkowska</dc:creator>
  <cp:keywords/>
  <dc:description/>
  <cp:lastModifiedBy>k.drozdowicz</cp:lastModifiedBy>
  <cp:revision>36</cp:revision>
  <cp:lastPrinted>2025-02-10T13:03:00Z</cp:lastPrinted>
  <dcterms:created xsi:type="dcterms:W3CDTF">2024-12-11T11:19:00Z</dcterms:created>
  <dcterms:modified xsi:type="dcterms:W3CDTF">2025-02-10T13:32:00Z</dcterms:modified>
</cp:coreProperties>
</file>